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D1ECE" w14:textId="1EE613BA" w:rsidR="002F7CB7" w:rsidRPr="002B2305" w:rsidRDefault="001B7712" w:rsidP="00AB4063">
      <w:pPr>
        <w:pStyle w:val="Heading1"/>
      </w:pPr>
      <w:r>
        <w:t xml:space="preserve">Update to </w:t>
      </w:r>
      <w:r w:rsidR="009F289A">
        <w:t xml:space="preserve">the </w:t>
      </w:r>
      <w:r>
        <w:t xml:space="preserve">Scottish baseline </w:t>
      </w:r>
      <w:r w:rsidR="009F289A">
        <w:t>for the Food Waste Action Plan</w:t>
      </w:r>
    </w:p>
    <w:p w14:paraId="25C3B6BB" w14:textId="77777777" w:rsidR="002B2305" w:rsidRDefault="002B2305" w:rsidP="002B2305">
      <w:pPr>
        <w:spacing w:after="0"/>
      </w:pPr>
    </w:p>
    <w:p w14:paraId="6750DD10" w14:textId="798AE1C5" w:rsidR="00EF7FDB" w:rsidRDefault="005D0D6B" w:rsidP="002B2305">
      <w:pPr>
        <w:spacing w:after="0"/>
      </w:pPr>
      <w:r>
        <w:t xml:space="preserve">In developing the ‘Food Waste Reduction Action Plan’ we revisited Scotland’s original baseline from 2013 to better determine </w:t>
      </w:r>
      <w:r w:rsidR="002F7CB7">
        <w:t xml:space="preserve">the potential impact of food waste prevention </w:t>
      </w:r>
      <w:r w:rsidR="00DB3D22">
        <w:t>considering</w:t>
      </w:r>
      <w:r w:rsidR="002F7CB7">
        <w:t xml:space="preserve"> new evidence since it was first announced in 2015.  This is in line with the original commitment to review the baseline </w:t>
      </w:r>
      <w:r w:rsidR="0095721D">
        <w:t>on a best</w:t>
      </w:r>
      <w:r w:rsidR="002F7CB7">
        <w:t xml:space="preserve"> available evidence </w:t>
      </w:r>
      <w:r w:rsidR="0095721D">
        <w:t xml:space="preserve">basis </w:t>
      </w:r>
      <w:r w:rsidR="002F7CB7">
        <w:t>in the</w:t>
      </w:r>
      <w:r>
        <w:t xml:space="preserve"> immature but</w:t>
      </w:r>
      <w:r w:rsidR="002F7CB7">
        <w:t xml:space="preserve"> rapidly developing field of food waste measurement.  </w:t>
      </w:r>
      <w:r w:rsidR="00151041">
        <w:t>As a result,</w:t>
      </w:r>
      <w:r w:rsidR="002F7CB7">
        <w:t xml:space="preserve"> some changes were made to the 2013 baseline, and these are detailed below</w:t>
      </w:r>
      <w:r w:rsidR="00EF7FDB">
        <w:t>:</w:t>
      </w:r>
    </w:p>
    <w:p w14:paraId="6873B78B" w14:textId="404B4180" w:rsidR="00EF7FDB" w:rsidRDefault="00EF7FDB" w:rsidP="00EF7FDB">
      <w:pPr>
        <w:pStyle w:val="Heading2"/>
      </w:pPr>
      <w:r>
        <w:t xml:space="preserve">Overall </w:t>
      </w:r>
      <w:r w:rsidR="00717270">
        <w:t xml:space="preserve">updated </w:t>
      </w:r>
      <w:r>
        <w:t>food waste baseline breakdown</w:t>
      </w:r>
    </w:p>
    <w:tbl>
      <w:tblPr>
        <w:tblStyle w:val="TableGrid"/>
        <w:tblW w:w="0" w:type="auto"/>
        <w:tblLook w:val="04A0" w:firstRow="1" w:lastRow="0" w:firstColumn="1" w:lastColumn="0" w:noHBand="0" w:noVBand="1"/>
      </w:tblPr>
      <w:tblGrid>
        <w:gridCol w:w="2830"/>
        <w:gridCol w:w="3119"/>
        <w:gridCol w:w="3067"/>
      </w:tblGrid>
      <w:tr w:rsidR="00CE62CA" w14:paraId="7B512275" w14:textId="77777777" w:rsidTr="00E2239A">
        <w:tc>
          <w:tcPr>
            <w:tcW w:w="2830" w:type="dxa"/>
            <w:shd w:val="clear" w:color="auto" w:fill="D9E2F3" w:themeFill="accent1" w:themeFillTint="33"/>
          </w:tcPr>
          <w:p w14:paraId="776BD80A" w14:textId="340B5BFC" w:rsidR="00CE62CA" w:rsidRPr="00E2239A" w:rsidRDefault="00CE62CA" w:rsidP="00CE62CA">
            <w:pPr>
              <w:rPr>
                <w:b/>
              </w:rPr>
            </w:pPr>
            <w:r w:rsidRPr="00E2239A">
              <w:rPr>
                <w:b/>
              </w:rPr>
              <w:t>Sector</w:t>
            </w:r>
          </w:p>
        </w:tc>
        <w:tc>
          <w:tcPr>
            <w:tcW w:w="3119" w:type="dxa"/>
            <w:shd w:val="clear" w:color="auto" w:fill="D9E2F3" w:themeFill="accent1" w:themeFillTint="33"/>
          </w:tcPr>
          <w:p w14:paraId="7F4BEC71" w14:textId="544D4CF8" w:rsidR="00CE62CA" w:rsidRPr="00E2239A" w:rsidRDefault="00E2239A" w:rsidP="00E2239A">
            <w:pPr>
              <w:jc w:val="center"/>
              <w:rPr>
                <w:b/>
              </w:rPr>
            </w:pPr>
            <w:r w:rsidRPr="00E2239A">
              <w:rPr>
                <w:b/>
              </w:rPr>
              <w:t>Original 2013 baseline</w:t>
            </w:r>
            <w:r>
              <w:rPr>
                <w:b/>
              </w:rPr>
              <w:t xml:space="preserve"> (tonnes)</w:t>
            </w:r>
          </w:p>
        </w:tc>
        <w:tc>
          <w:tcPr>
            <w:tcW w:w="3067" w:type="dxa"/>
            <w:shd w:val="clear" w:color="auto" w:fill="D9E2F3" w:themeFill="accent1" w:themeFillTint="33"/>
          </w:tcPr>
          <w:p w14:paraId="1EBAB226" w14:textId="57F91FC0" w:rsidR="00CE62CA" w:rsidRPr="00E2239A" w:rsidRDefault="00E2239A" w:rsidP="00E2239A">
            <w:pPr>
              <w:jc w:val="center"/>
              <w:rPr>
                <w:b/>
              </w:rPr>
            </w:pPr>
            <w:r w:rsidRPr="00E2239A">
              <w:rPr>
                <w:b/>
              </w:rPr>
              <w:t>Updated 2013 baseline</w:t>
            </w:r>
            <w:r>
              <w:rPr>
                <w:b/>
              </w:rPr>
              <w:t xml:space="preserve"> (tonnes)</w:t>
            </w:r>
          </w:p>
        </w:tc>
      </w:tr>
      <w:tr w:rsidR="00CE62CA" w14:paraId="350ED298" w14:textId="77777777" w:rsidTr="00E2239A">
        <w:tc>
          <w:tcPr>
            <w:tcW w:w="2830" w:type="dxa"/>
          </w:tcPr>
          <w:p w14:paraId="72A3EDB8" w14:textId="29FEBF1E" w:rsidR="00CE62CA" w:rsidRDefault="00E2239A" w:rsidP="00CE62CA">
            <w:r>
              <w:t>Household &amp; consumer</w:t>
            </w:r>
          </w:p>
        </w:tc>
        <w:tc>
          <w:tcPr>
            <w:tcW w:w="3119" w:type="dxa"/>
          </w:tcPr>
          <w:p w14:paraId="15E39891" w14:textId="4549CD60" w:rsidR="00CE62CA" w:rsidRDefault="00B32BE0" w:rsidP="00E2239A">
            <w:pPr>
              <w:jc w:val="center"/>
            </w:pPr>
            <w:r>
              <w:t>608,221</w:t>
            </w:r>
          </w:p>
        </w:tc>
        <w:tc>
          <w:tcPr>
            <w:tcW w:w="3067" w:type="dxa"/>
          </w:tcPr>
          <w:p w14:paraId="5760BBBB" w14:textId="49BED6D2" w:rsidR="00CE62CA" w:rsidRDefault="00E2239A" w:rsidP="00E2239A">
            <w:pPr>
              <w:jc w:val="center"/>
            </w:pPr>
            <w:r>
              <w:t>598,946</w:t>
            </w:r>
          </w:p>
        </w:tc>
      </w:tr>
      <w:tr w:rsidR="00CE62CA" w14:paraId="0467B02B" w14:textId="77777777" w:rsidTr="00E2239A">
        <w:tc>
          <w:tcPr>
            <w:tcW w:w="2830" w:type="dxa"/>
          </w:tcPr>
          <w:p w14:paraId="14B1ED02" w14:textId="125AD6C6" w:rsidR="00CE62CA" w:rsidRDefault="00E2239A" w:rsidP="00CE62CA">
            <w:r>
              <w:t>Food &amp; Drink manufacturing</w:t>
            </w:r>
          </w:p>
        </w:tc>
        <w:tc>
          <w:tcPr>
            <w:tcW w:w="3119" w:type="dxa"/>
          </w:tcPr>
          <w:p w14:paraId="08DE2CC3" w14:textId="4B2812D2" w:rsidR="00CE62CA" w:rsidRDefault="00B32BE0" w:rsidP="00E2239A">
            <w:pPr>
              <w:jc w:val="center"/>
            </w:pPr>
            <w:r>
              <w:t>506,806</w:t>
            </w:r>
          </w:p>
        </w:tc>
        <w:tc>
          <w:tcPr>
            <w:tcW w:w="3067" w:type="dxa"/>
          </w:tcPr>
          <w:p w14:paraId="4E67EFCF" w14:textId="4511AFA0" w:rsidR="00CE62CA" w:rsidRDefault="00E2239A" w:rsidP="00E2239A">
            <w:pPr>
              <w:jc w:val="center"/>
            </w:pPr>
            <w:r>
              <w:t>24</w:t>
            </w:r>
            <w:r w:rsidR="003007E9">
              <w:t>8,230</w:t>
            </w:r>
          </w:p>
        </w:tc>
      </w:tr>
      <w:tr w:rsidR="000F7300" w14:paraId="0229A6A4" w14:textId="77777777" w:rsidTr="00E2239A">
        <w:tc>
          <w:tcPr>
            <w:tcW w:w="2830" w:type="dxa"/>
          </w:tcPr>
          <w:p w14:paraId="18DE1E8A" w14:textId="25546C93" w:rsidR="000F7300" w:rsidRDefault="00DB3D22" w:rsidP="00CE62CA">
            <w:r>
              <w:t>Other sectors</w:t>
            </w:r>
          </w:p>
        </w:tc>
        <w:tc>
          <w:tcPr>
            <w:tcW w:w="3119" w:type="dxa"/>
          </w:tcPr>
          <w:p w14:paraId="1C466176" w14:textId="7576137B" w:rsidR="000F7300" w:rsidRDefault="000F7300" w:rsidP="00E2239A">
            <w:pPr>
              <w:jc w:val="center"/>
            </w:pPr>
            <w:r>
              <w:t>234,931</w:t>
            </w:r>
          </w:p>
        </w:tc>
        <w:tc>
          <w:tcPr>
            <w:tcW w:w="3067" w:type="dxa"/>
          </w:tcPr>
          <w:p w14:paraId="5315B0BA" w14:textId="3150ADBA" w:rsidR="000F7300" w:rsidRDefault="00DB3D22" w:rsidP="00E2239A">
            <w:pPr>
              <w:jc w:val="center"/>
            </w:pPr>
            <w:r>
              <w:t>140,714</w:t>
            </w:r>
          </w:p>
        </w:tc>
      </w:tr>
      <w:tr w:rsidR="00CE62CA" w14:paraId="135CA2E7" w14:textId="77777777" w:rsidTr="00E2239A">
        <w:tc>
          <w:tcPr>
            <w:tcW w:w="2830" w:type="dxa"/>
          </w:tcPr>
          <w:p w14:paraId="17558601" w14:textId="293C2197" w:rsidR="00CE62CA" w:rsidRPr="00E2239A" w:rsidRDefault="00E2239A" w:rsidP="00CE62CA">
            <w:pPr>
              <w:rPr>
                <w:b/>
              </w:rPr>
            </w:pPr>
            <w:r w:rsidRPr="00E2239A">
              <w:rPr>
                <w:b/>
              </w:rPr>
              <w:t>Total</w:t>
            </w:r>
          </w:p>
        </w:tc>
        <w:tc>
          <w:tcPr>
            <w:tcW w:w="3119" w:type="dxa"/>
          </w:tcPr>
          <w:p w14:paraId="470282E5" w14:textId="490B1B76" w:rsidR="00CE62CA" w:rsidRPr="00E2239A" w:rsidRDefault="00B32BE0" w:rsidP="00E2239A">
            <w:pPr>
              <w:jc w:val="center"/>
              <w:rPr>
                <w:b/>
              </w:rPr>
            </w:pPr>
            <w:r>
              <w:rPr>
                <w:b/>
              </w:rPr>
              <w:t>1,349,958</w:t>
            </w:r>
          </w:p>
        </w:tc>
        <w:tc>
          <w:tcPr>
            <w:tcW w:w="3067" w:type="dxa"/>
          </w:tcPr>
          <w:p w14:paraId="46645D50" w14:textId="494272FD" w:rsidR="00CE62CA" w:rsidRPr="00E2239A" w:rsidRDefault="00E2658F" w:rsidP="00E2239A">
            <w:pPr>
              <w:jc w:val="center"/>
              <w:rPr>
                <w:b/>
              </w:rPr>
            </w:pPr>
            <w:r>
              <w:rPr>
                <w:b/>
              </w:rPr>
              <w:t>987,890</w:t>
            </w:r>
          </w:p>
        </w:tc>
      </w:tr>
    </w:tbl>
    <w:p w14:paraId="5DAE8275" w14:textId="75083F3E" w:rsidR="002B2305" w:rsidRDefault="002B2305" w:rsidP="002B2305">
      <w:pPr>
        <w:spacing w:after="0"/>
        <w:rPr>
          <w:b/>
        </w:rPr>
      </w:pPr>
    </w:p>
    <w:p w14:paraId="586F2D6D" w14:textId="381DC71D" w:rsidR="00DB3D22" w:rsidRDefault="00E12FEB" w:rsidP="00E12FEB">
      <w:pPr>
        <w:spacing w:after="0"/>
        <w:jc w:val="center"/>
        <w:rPr>
          <w:b/>
        </w:rPr>
      </w:pPr>
      <w:r>
        <w:rPr>
          <w:b/>
          <w:noProof/>
        </w:rPr>
        <w:drawing>
          <wp:inline distT="0" distB="0" distL="0" distR="0" wp14:anchorId="696C7667" wp14:editId="4BEA1842">
            <wp:extent cx="5731510" cy="25082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pdated-vs-original-baseline.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508250"/>
                    </a:xfrm>
                    <a:prstGeom prst="rect">
                      <a:avLst/>
                    </a:prstGeom>
                  </pic:spPr>
                </pic:pic>
              </a:graphicData>
            </a:graphic>
          </wp:inline>
        </w:drawing>
      </w:r>
    </w:p>
    <w:p w14:paraId="0ACFAC15" w14:textId="082F54BD" w:rsidR="002F7CB7" w:rsidRPr="002B2305" w:rsidRDefault="002F7CB7" w:rsidP="00F22BE9">
      <w:pPr>
        <w:pStyle w:val="Heading2"/>
      </w:pPr>
      <w:r w:rsidRPr="002B2305">
        <w:t>Household food waste baseline</w:t>
      </w:r>
    </w:p>
    <w:p w14:paraId="5C09527B" w14:textId="3C2E8AD6" w:rsidR="002F7CB7" w:rsidRDefault="00B36991" w:rsidP="002B2305">
      <w:pPr>
        <w:spacing w:after="0"/>
      </w:pPr>
      <w:r>
        <w:t>The household baseline has reduced</w:t>
      </w:r>
      <w:r w:rsidR="00BD258B">
        <w:t xml:space="preserve"> by 9,275 tonnes</w:t>
      </w:r>
      <w:r>
        <w:t xml:space="preserve"> from 608,221 to 598,946 tonnes</w:t>
      </w:r>
      <w:r w:rsidR="002F7CB7">
        <w:t>.  This change reflects the removal of food that is “fed to animals</w:t>
      </w:r>
      <w:r w:rsidR="00221725">
        <w:t>” and</w:t>
      </w:r>
      <w:r w:rsidR="002F7CB7">
        <w:t xml:space="preserve"> aligns Scotland with international definitions that exclude food fed to animals from food waste accounting (</w:t>
      </w:r>
      <w:hyperlink r:id="rId9" w:history="1">
        <w:r w:rsidRPr="00B36991">
          <w:rPr>
            <w:rStyle w:val="Hyperlink"/>
          </w:rPr>
          <w:t>FLW Standard</w:t>
        </w:r>
      </w:hyperlink>
      <w:r w:rsidR="002F7CB7">
        <w:t>).</w:t>
      </w:r>
      <w:r w:rsidR="00CE62CA">
        <w:t xml:space="preserve"> Although this revision is relatively small in terms of tonnage, as the overall food waste total has reduced quite considerably </w:t>
      </w:r>
      <w:r w:rsidR="009001DB">
        <w:t xml:space="preserve">the household </w:t>
      </w:r>
      <w:r w:rsidR="00CE62CA">
        <w:t>proportion has increased from 45% to 61%.</w:t>
      </w:r>
    </w:p>
    <w:p w14:paraId="6CAE2301" w14:textId="77777777" w:rsidR="002B2305" w:rsidRDefault="002B2305" w:rsidP="002B2305">
      <w:pPr>
        <w:spacing w:after="0"/>
      </w:pPr>
    </w:p>
    <w:p w14:paraId="48F26623" w14:textId="1D899353" w:rsidR="009001DB" w:rsidRDefault="002F7CB7" w:rsidP="002B2305">
      <w:pPr>
        <w:spacing w:after="0"/>
      </w:pPr>
      <w:r>
        <w:t xml:space="preserve">We have retained estimates for food waste disposal to sewer from households </w:t>
      </w:r>
      <w:r w:rsidR="00E9604A">
        <w:t xml:space="preserve">and for home composting </w:t>
      </w:r>
      <w:r>
        <w:t xml:space="preserve">within the baseline, despite the likely challenges in measuring these directly.  Zero Waste Scotland expect that only monitoring of food waste disposed of via local authority collections (both dedicated food waste collection services and in the residual bin) will be measurable accurately and cost-effectively during the target period.  We propose to use these </w:t>
      </w:r>
      <w:r w:rsidR="002B2305">
        <w:t xml:space="preserve">measurements </w:t>
      </w:r>
      <w:r>
        <w:t xml:space="preserve">as the primary indicator of </w:t>
      </w:r>
      <w:r w:rsidR="00A1548E">
        <w:t>progress and</w:t>
      </w:r>
      <w:r>
        <w:t xml:space="preserve"> amend </w:t>
      </w:r>
      <w:r w:rsidR="002B2305">
        <w:t xml:space="preserve">the estimates for the other routes in line with changes seen, as we would not expect </w:t>
      </w:r>
      <w:r w:rsidR="007D1F1B">
        <w:t xml:space="preserve">these </w:t>
      </w:r>
      <w:r w:rsidR="002B2305">
        <w:t xml:space="preserve">waste levels to change independently in a household context.  </w:t>
      </w:r>
      <w:r>
        <w:t xml:space="preserve"> </w:t>
      </w:r>
      <w:r w:rsidR="009001DB">
        <w:t xml:space="preserve">It is worth noting that the continued inclusion of sewer disposal here is at odds with the treatment of sewer </w:t>
      </w:r>
      <w:r w:rsidR="009001DB">
        <w:lastRenderedPageBreak/>
        <w:t xml:space="preserve">disposal in other sectors (where it cannot be accurately estimated, and we would not assume it will change in line with solid food waste disposal volumes).  The result of this is that the share of overall food waste assigned to households is probably somewhat higher than the true picture.  </w:t>
      </w:r>
    </w:p>
    <w:p w14:paraId="4E6AE1D1" w14:textId="77777777" w:rsidR="00CE62CA" w:rsidRDefault="00CE62CA" w:rsidP="002B2305">
      <w:pPr>
        <w:spacing w:after="0"/>
      </w:pPr>
    </w:p>
    <w:p w14:paraId="166E20EE" w14:textId="61A254D5" w:rsidR="002B2305" w:rsidRPr="00CE62CA" w:rsidRDefault="002B2305" w:rsidP="002B2305">
      <w:pPr>
        <w:spacing w:after="0"/>
      </w:pPr>
      <w:r>
        <w:t xml:space="preserve">Our confidence in </w:t>
      </w:r>
      <w:r w:rsidR="00A94020">
        <w:t>household food waste estimates is</w:t>
      </w:r>
      <w:r>
        <w:t xml:space="preserve"> high.  </w:t>
      </w:r>
    </w:p>
    <w:p w14:paraId="75E0D840" w14:textId="2E6F18AF" w:rsidR="00A94020" w:rsidRPr="00743DE6" w:rsidRDefault="002F7CB7" w:rsidP="00743DE6">
      <w:pPr>
        <w:pStyle w:val="Heading2"/>
      </w:pPr>
      <w:r w:rsidRPr="00EF7FDB">
        <w:t>Non-household food waste baseline</w:t>
      </w:r>
    </w:p>
    <w:p w14:paraId="4DD504AA" w14:textId="77777777" w:rsidR="002B2305" w:rsidRDefault="002B2305" w:rsidP="00EF7FDB">
      <w:pPr>
        <w:pStyle w:val="Heading3"/>
      </w:pPr>
      <w:r w:rsidRPr="002B2305">
        <w:t>Food and drink manufacturing</w:t>
      </w:r>
    </w:p>
    <w:p w14:paraId="0279A292" w14:textId="1CBE3029" w:rsidR="002B2305" w:rsidRDefault="002B2305" w:rsidP="00FD2709">
      <w:r>
        <w:t>In 2016,</w:t>
      </w:r>
      <w:r w:rsidR="003921A0">
        <w:t xml:space="preserve"> </w:t>
      </w:r>
      <w:hyperlink r:id="rId10" w:history="1">
        <w:r w:rsidR="003921A0" w:rsidRPr="003921A0">
          <w:rPr>
            <w:rStyle w:val="Hyperlink"/>
          </w:rPr>
          <w:t>UK research by WRAP</w:t>
        </w:r>
      </w:hyperlink>
      <w:r w:rsidR="003921A0">
        <w:t xml:space="preserve"> </w:t>
      </w:r>
      <w:r>
        <w:t>suggested that previous estimates for UK food and drink manufacturing food waste included some significant overestimates, due to non-food content (particularly water, soil, and stones) making up part of some waste categories previously assumed to be wholly food.  Following discussion with SEPA, and stakeholder feedback, we have applied the insight from the UK study to the Scottish waste data used in the 2013 baseline exercise</w:t>
      </w:r>
      <w:r w:rsidR="00935BD8">
        <w:t xml:space="preserve"> (see Appendix 1 for detail)</w:t>
      </w:r>
      <w:r>
        <w:t>.</w:t>
      </w:r>
      <w:r w:rsidR="00935BD8">
        <w:t xml:space="preserve"> </w:t>
      </w:r>
      <w:r>
        <w:t xml:space="preserve">This reduces the Scottish </w:t>
      </w:r>
      <w:r w:rsidR="00935BD8">
        <w:t xml:space="preserve">Food and Drink Manufacturing </w:t>
      </w:r>
      <w:r>
        <w:t>baseline for 2013</w:t>
      </w:r>
      <w:r w:rsidR="00935BD8">
        <w:t xml:space="preserve"> quite considerably</w:t>
      </w:r>
      <w:r>
        <w:t xml:space="preserve"> from </w:t>
      </w:r>
      <w:r w:rsidR="00935BD8">
        <w:t>506,806</w:t>
      </w:r>
      <w:r>
        <w:t xml:space="preserve"> tonnes to </w:t>
      </w:r>
      <w:r w:rsidR="00935BD8">
        <w:t>2</w:t>
      </w:r>
      <w:r w:rsidR="00E2658F">
        <w:t xml:space="preserve">48,230 </w:t>
      </w:r>
      <w:bookmarkStart w:id="0" w:name="_GoBack"/>
      <w:bookmarkEnd w:id="0"/>
      <w:r>
        <w:t xml:space="preserve">tonnes. </w:t>
      </w:r>
      <w:r w:rsidR="007D1F1B">
        <w:t>Correspondingly its proportion of total food waste reduces from 38% to 25%.</w:t>
      </w:r>
      <w:r>
        <w:t xml:space="preserve"> </w:t>
      </w:r>
    </w:p>
    <w:p w14:paraId="35D0D1D8" w14:textId="47BF97D3" w:rsidR="002B2305" w:rsidRDefault="002B2305" w:rsidP="00FD2709">
      <w:r>
        <w:t xml:space="preserve">We continue to exclude liquid disposal from </w:t>
      </w:r>
      <w:r w:rsidR="00AB4063">
        <w:t>F</w:t>
      </w:r>
      <w:r>
        <w:t xml:space="preserve">ood and </w:t>
      </w:r>
      <w:r w:rsidR="00AB4063">
        <w:t>D</w:t>
      </w:r>
      <w:r>
        <w:t xml:space="preserve">rink </w:t>
      </w:r>
      <w:r w:rsidR="00AB4063">
        <w:t>M</w:t>
      </w:r>
      <w:r>
        <w:t>anufacturing from the baseline (in contrast to the approach for households).  Research by Zero Waste Scotland</w:t>
      </w:r>
      <w:r w:rsidR="007D1F1B">
        <w:t xml:space="preserve"> (</w:t>
      </w:r>
      <w:r w:rsidR="007D1F1B" w:rsidRPr="007D1F1B">
        <w:rPr>
          <w:i/>
        </w:rPr>
        <w:t>add link when published</w:t>
      </w:r>
      <w:r w:rsidR="007D1F1B">
        <w:t>)</w:t>
      </w:r>
      <w:r>
        <w:t xml:space="preserve"> shows significant quantities of food and ingredient waste are disposed of via this route, but consistent measurement is not yet possible, and </w:t>
      </w:r>
      <w:r w:rsidR="00D3426B">
        <w:t xml:space="preserve">the exact nature of all materials (and whether </w:t>
      </w:r>
      <w:r w:rsidR="00E9604A">
        <w:t>all material</w:t>
      </w:r>
      <w:r w:rsidR="00D3426B">
        <w:t xml:space="preserve"> should be classed as “food”) is not clear in all cases.  There are undoubtedly efficiency gains and bioeconomy opportunities to be realised from better management of these disposal </w:t>
      </w:r>
      <w:r w:rsidR="00B36991">
        <w:t>routes but</w:t>
      </w:r>
      <w:r w:rsidR="00D3426B">
        <w:t xml:space="preserve"> including them in the target would be likely to hinder our ability to see trends in conventional food waste streams</w:t>
      </w:r>
      <w:r w:rsidR="00E9604A">
        <w:t xml:space="preserve"> by increasing overall uncertainty very significantly</w:t>
      </w:r>
      <w:r w:rsidR="00D3426B">
        <w:t xml:space="preserve">.  </w:t>
      </w:r>
      <w:r>
        <w:t xml:space="preserve"> </w:t>
      </w:r>
    </w:p>
    <w:p w14:paraId="09C278BD" w14:textId="44F7C178" w:rsidR="002B2305" w:rsidRDefault="002B2305" w:rsidP="00FD2709">
      <w:r>
        <w:t xml:space="preserve">Our confidence in the </w:t>
      </w:r>
      <w:r w:rsidR="00AB4063">
        <w:t xml:space="preserve">Food and Drink Manufacturing </w:t>
      </w:r>
      <w:r>
        <w:t>estimate is medium</w:t>
      </w:r>
      <w:r w:rsidR="00A94020">
        <w:t xml:space="preserve">.  These estimates </w:t>
      </w:r>
      <w:r w:rsidR="00D3426B">
        <w:t xml:space="preserve">may be refined further by additional </w:t>
      </w:r>
      <w:r w:rsidR="007D1F1B">
        <w:t>analysis</w:t>
      </w:r>
      <w:r w:rsidR="00D3426B">
        <w:t xml:space="preserve"> with</w:t>
      </w:r>
      <w:r w:rsidR="007D1F1B">
        <w:t>in</w:t>
      </w:r>
      <w:r w:rsidR="00D3426B">
        <w:t xml:space="preserve"> specific sub-sectors.  </w:t>
      </w:r>
      <w:r>
        <w:t xml:space="preserve"> </w:t>
      </w:r>
    </w:p>
    <w:p w14:paraId="049E96CC" w14:textId="77777777" w:rsidR="002B2305" w:rsidRDefault="002B2305" w:rsidP="00EF7FDB">
      <w:pPr>
        <w:pStyle w:val="Heading3"/>
      </w:pPr>
      <w:r w:rsidRPr="002B2305">
        <w:t>Other sectors</w:t>
      </w:r>
    </w:p>
    <w:p w14:paraId="05470413" w14:textId="1807BF01" w:rsidR="00D3426B" w:rsidRDefault="00D3426B" w:rsidP="00FD2709">
      <w:r>
        <w:t>Further analysis of the 2013 baseline suggests that food waste in other sectors may be over-estimated.  Specifically, the proportion of mixed waste assumed to be food waste is likely to vary far more by sector than was initially calculated, with some sector estimates via the original method seeming far too high for the staff or customer numbers associated with the activity.</w:t>
      </w:r>
    </w:p>
    <w:p w14:paraId="4BC10C1C" w14:textId="1B132A98" w:rsidR="00D3426B" w:rsidRDefault="00D3426B" w:rsidP="00FD2709">
      <w:r>
        <w:t xml:space="preserve">Where specific sub-sector </w:t>
      </w:r>
      <w:r w:rsidR="00C9061C">
        <w:t xml:space="preserve">compositional </w:t>
      </w:r>
      <w:r>
        <w:t>studies</w:t>
      </w:r>
      <w:r w:rsidR="00894615">
        <w:t xml:space="preserve"> </w:t>
      </w:r>
      <w:r>
        <w:t xml:space="preserve">are available for </w:t>
      </w:r>
      <w:r w:rsidR="003921A0">
        <w:t>Health and Social Care, Education, Motor, Wholesale and Retail Sectors (</w:t>
      </w:r>
      <w:hyperlink r:id="rId11" w:history="1">
        <w:r w:rsidR="003921A0" w:rsidRPr="00894615">
          <w:rPr>
            <w:rStyle w:val="Hyperlink"/>
          </w:rPr>
          <w:t>Zero Waste Scotland, 2012</w:t>
        </w:r>
      </w:hyperlink>
      <w:r w:rsidR="003921A0">
        <w:rPr>
          <w:rStyle w:val="Hyperlink"/>
        </w:rPr>
        <w:t>)</w:t>
      </w:r>
      <w:r w:rsidR="003921A0">
        <w:t xml:space="preserve"> and Hospitality (</w:t>
      </w:r>
      <w:hyperlink r:id="rId12" w:history="1">
        <w:r w:rsidR="003921A0" w:rsidRPr="0010665D">
          <w:rPr>
            <w:rStyle w:val="Hyperlink"/>
          </w:rPr>
          <w:t>WRAP, 2011</w:t>
        </w:r>
      </w:hyperlink>
      <w:r w:rsidR="003921A0">
        <w:t>)</w:t>
      </w:r>
      <w:r>
        <w:t xml:space="preserve"> these do not always provide estimates that align with other sources.  </w:t>
      </w:r>
    </w:p>
    <w:p w14:paraId="6E0A5A86" w14:textId="0C408129" w:rsidR="00A94020" w:rsidRDefault="002E23CF" w:rsidP="003921A0">
      <w:r>
        <w:t>To</w:t>
      </w:r>
      <w:r w:rsidR="00AF0F44">
        <w:t xml:space="preserve"> create a</w:t>
      </w:r>
      <w:r w:rsidR="00A94020">
        <w:t xml:space="preserve"> meaningful forecast for the </w:t>
      </w:r>
      <w:r w:rsidR="001B0247">
        <w:t>A</w:t>
      </w:r>
      <w:r w:rsidR="00A94020">
        <w:t xml:space="preserve">ction </w:t>
      </w:r>
      <w:r w:rsidR="001B0247">
        <w:t>P</w:t>
      </w:r>
      <w:r w:rsidR="00A94020">
        <w:t xml:space="preserve">lan, we have used the sub-sector studies mentioned above </w:t>
      </w:r>
      <w:r w:rsidR="00580B70">
        <w:t>but</w:t>
      </w:r>
      <w:r w:rsidR="00A94020">
        <w:t xml:space="preserve"> excluded any unique estimates on food waste content in mixed waste </w:t>
      </w:r>
      <w:r w:rsidR="00DE55D9">
        <w:t xml:space="preserve">previously made </w:t>
      </w:r>
      <w:r w:rsidR="00A94020">
        <w:t>(which has the net effect of an overall reduction in the baseline).  We believe this compromise gives an overall total that is likely to be closer to true food waste levels, and the likely reach of the measures proposed in the action plan</w:t>
      </w:r>
      <w:r w:rsidR="00FD2709">
        <w:t>. However,</w:t>
      </w:r>
      <w:r w:rsidR="00DE55D9">
        <w:t xml:space="preserve"> </w:t>
      </w:r>
      <w:r w:rsidR="00FD2709">
        <w:t>the sector breakdown</w:t>
      </w:r>
      <w:r w:rsidR="00DE55D9">
        <w:t xml:space="preserve"> is likely to change further as evidence improves</w:t>
      </w:r>
      <w:r w:rsidR="00A94020">
        <w:t>.</w:t>
      </w:r>
    </w:p>
    <w:p w14:paraId="1E3FC0D1" w14:textId="5FBF3D1E" w:rsidR="00A94020" w:rsidRDefault="00A94020" w:rsidP="002B2305">
      <w:pPr>
        <w:spacing w:after="0"/>
      </w:pPr>
      <w:r>
        <w:t>Overall, the current estimates for food waste from other sectors is now</w:t>
      </w:r>
      <w:r w:rsidR="001B0247">
        <w:t xml:space="preserve"> 140,</w:t>
      </w:r>
      <w:r w:rsidR="00A35246">
        <w:t>714</w:t>
      </w:r>
      <w:r>
        <w:t xml:space="preserve"> tonnes (previously </w:t>
      </w:r>
      <w:r w:rsidR="001B0247">
        <w:t>234,931</w:t>
      </w:r>
      <w:r>
        <w:t xml:space="preserve"> tonnes).  </w:t>
      </w:r>
      <w:r w:rsidR="00D3426B">
        <w:t xml:space="preserve">  </w:t>
      </w:r>
    </w:p>
    <w:p w14:paraId="0ED4C867" w14:textId="77777777" w:rsidR="00A94020" w:rsidRDefault="00A94020" w:rsidP="002B2305">
      <w:pPr>
        <w:spacing w:after="0"/>
      </w:pPr>
    </w:p>
    <w:p w14:paraId="1418CCEB" w14:textId="77777777" w:rsidR="00A94020" w:rsidRDefault="00A94020" w:rsidP="002B2305">
      <w:pPr>
        <w:spacing w:after="0"/>
      </w:pPr>
      <w:r>
        <w:t xml:space="preserve">We continue to exclude liquid disposal from </w:t>
      </w:r>
      <w:r w:rsidR="00DE55D9">
        <w:t>“</w:t>
      </w:r>
      <w:r>
        <w:t>other</w:t>
      </w:r>
      <w:r w:rsidR="00DE55D9">
        <w:t>”</w:t>
      </w:r>
      <w:r>
        <w:t xml:space="preserve"> sectors from the baseline (in contrast to the approach for households, but in common with food and drink manufacturing), as there is no cost-</w:t>
      </w:r>
      <w:r>
        <w:lastRenderedPageBreak/>
        <w:t>effective way to measure this.  The Waste (Scotland) Regulations preclude maceration of food waste, so we do not believe diversion of food waste to the sewer will increase over time.</w:t>
      </w:r>
    </w:p>
    <w:p w14:paraId="167A2160" w14:textId="77777777" w:rsidR="00A94020" w:rsidRDefault="00A94020" w:rsidP="002B2305">
      <w:pPr>
        <w:spacing w:after="0"/>
      </w:pPr>
    </w:p>
    <w:p w14:paraId="152A323E" w14:textId="7098010A" w:rsidR="00332C44" w:rsidRDefault="00D3426B" w:rsidP="002B2305">
      <w:pPr>
        <w:spacing w:after="0"/>
      </w:pPr>
      <w:r>
        <w:t xml:space="preserve">Estimates for overall food waste from other sectors are lower confidence.  They are likely to be refined further as we work with specific sub-sectors and sites.    </w:t>
      </w:r>
    </w:p>
    <w:p w14:paraId="4AC622C8" w14:textId="6C2EABCD" w:rsidR="00332C44" w:rsidRDefault="00332C44" w:rsidP="00332C44">
      <w:pPr>
        <w:pStyle w:val="Heading2"/>
      </w:pPr>
      <w:r>
        <w:t>Future development of the Scottish baseline</w:t>
      </w:r>
    </w:p>
    <w:p w14:paraId="59C48C8C" w14:textId="77777777" w:rsidR="00AB1100" w:rsidRDefault="00332C44" w:rsidP="00332C44">
      <w:r>
        <w:t xml:space="preserve">Given the remaining uncertainty across </w:t>
      </w:r>
      <w:r w:rsidR="00E12FEB">
        <w:t>several</w:t>
      </w:r>
      <w:r>
        <w:t xml:space="preserve"> sectors</w:t>
      </w:r>
      <w:r w:rsidR="009001DB">
        <w:t>,</w:t>
      </w:r>
      <w:r>
        <w:t xml:space="preserve"> together with </w:t>
      </w:r>
      <w:r w:rsidR="00645EF3">
        <w:t>the rapid development of food loss and food waste measuring and monitoring methods, we can expect there to be further iteration of the baseline in response to emerging information</w:t>
      </w:r>
      <w:r w:rsidR="009001DB">
        <w:t xml:space="preserve"> and best practice in Scotland and Europe</w:t>
      </w:r>
      <w:r w:rsidR="00645EF3">
        <w:t>.</w:t>
      </w:r>
      <w:r w:rsidR="009001DB">
        <w:t xml:space="preserve">  This remains a rapidly developing area, where countries continue to innovate in improving measurement.</w:t>
      </w:r>
      <w:r w:rsidR="00645EF3">
        <w:t xml:space="preserve"> The measures laid out in the Food Waste Reduction Action Plan will contribute to this improved level of knowledge of sector specific waste volumes and allow more focused actions and interventions to be implemented in response. Zero Waste Scotland will continue to engage and share knowledge with our partners in the UK (WRAP) and across Europe (</w:t>
      </w:r>
      <w:r w:rsidR="00645EF3" w:rsidRPr="00645EF3">
        <w:t>F</w:t>
      </w:r>
      <w:r w:rsidR="00645EF3">
        <w:t>ood</w:t>
      </w:r>
      <w:r w:rsidR="00645EF3" w:rsidRPr="00645EF3">
        <w:t xml:space="preserve"> W</w:t>
      </w:r>
      <w:r w:rsidR="00645EF3">
        <w:t>aste</w:t>
      </w:r>
      <w:r w:rsidR="00645EF3" w:rsidRPr="00645EF3">
        <w:t xml:space="preserve"> M</w:t>
      </w:r>
      <w:r w:rsidR="00645EF3">
        <w:t xml:space="preserve">easurement </w:t>
      </w:r>
      <w:r w:rsidR="00645EF3" w:rsidRPr="00645EF3">
        <w:t>S</w:t>
      </w:r>
      <w:r w:rsidR="00645EF3">
        <w:t>ubgroup</w:t>
      </w:r>
      <w:r w:rsidR="00645EF3" w:rsidRPr="00645EF3">
        <w:t xml:space="preserve"> </w:t>
      </w:r>
      <w:r w:rsidR="00645EF3">
        <w:t>of the EU</w:t>
      </w:r>
      <w:r w:rsidR="00645EF3" w:rsidRPr="00645EF3">
        <w:t xml:space="preserve"> P</w:t>
      </w:r>
      <w:r w:rsidR="00645EF3">
        <w:t>latform</w:t>
      </w:r>
      <w:r w:rsidR="00645EF3" w:rsidRPr="00645EF3">
        <w:t xml:space="preserve"> </w:t>
      </w:r>
      <w:r w:rsidR="00645EF3">
        <w:t>on</w:t>
      </w:r>
      <w:r w:rsidR="00645EF3" w:rsidRPr="00645EF3">
        <w:t xml:space="preserve"> F</w:t>
      </w:r>
      <w:r w:rsidR="00645EF3">
        <w:t>ood</w:t>
      </w:r>
      <w:r w:rsidR="00645EF3" w:rsidRPr="00645EF3">
        <w:t xml:space="preserve"> L</w:t>
      </w:r>
      <w:r w:rsidR="00645EF3">
        <w:t xml:space="preserve">osses and </w:t>
      </w:r>
      <w:r w:rsidR="00645EF3" w:rsidRPr="00645EF3">
        <w:t>F</w:t>
      </w:r>
      <w:r w:rsidR="00645EF3">
        <w:t>ood</w:t>
      </w:r>
      <w:r w:rsidR="00645EF3" w:rsidRPr="00645EF3">
        <w:t xml:space="preserve"> W</w:t>
      </w:r>
      <w:r w:rsidR="00645EF3">
        <w:t>aste) to ensure we remain abreast of the latest methodology developments.</w:t>
      </w:r>
      <w:r w:rsidR="00AB1100">
        <w:t xml:space="preserve"> </w:t>
      </w:r>
    </w:p>
    <w:p w14:paraId="5581D367" w14:textId="64F8C46C" w:rsidR="00332C44" w:rsidRPr="00332C44" w:rsidRDefault="00AB1100" w:rsidP="00AB1100">
      <w:r>
        <w:t>Measurement of future food waste levels will always be on a consistent basis with this or future baseline changes, so methodological changes will not contribute towards target achievement.  Approaches to future measurement, and any further baseline improvements, will be discussed and agreed between Scottish Government, SEPA, and Zero Waste Scotland on Scotland’s Waste Data Strategy Board</w:t>
      </w:r>
    </w:p>
    <w:p w14:paraId="1B7A5A4C" w14:textId="77777777" w:rsidR="00332C44" w:rsidRDefault="00332C44">
      <w:pPr>
        <w:jc w:val="left"/>
        <w:rPr>
          <w:i/>
        </w:rPr>
      </w:pPr>
    </w:p>
    <w:p w14:paraId="52983B22" w14:textId="5D4E2F53" w:rsidR="00AB4063" w:rsidRDefault="00AB4063">
      <w:pPr>
        <w:jc w:val="left"/>
        <w:rPr>
          <w:i/>
          <w:color w:val="FF0000"/>
        </w:rPr>
      </w:pPr>
      <w:r>
        <w:rPr>
          <w:i/>
          <w:color w:val="FF0000"/>
        </w:rPr>
        <w:br w:type="page"/>
      </w:r>
    </w:p>
    <w:p w14:paraId="23D43535" w14:textId="77777777" w:rsidR="002A4ACA" w:rsidRDefault="002A4ACA" w:rsidP="00AB4063">
      <w:pPr>
        <w:pStyle w:val="Heading1"/>
        <w:sectPr w:rsidR="002A4ACA">
          <w:pgSz w:w="11906" w:h="16838"/>
          <w:pgMar w:top="1440" w:right="1440" w:bottom="1440" w:left="1440" w:header="708" w:footer="708" w:gutter="0"/>
          <w:cols w:space="708"/>
          <w:docGrid w:linePitch="360"/>
        </w:sectPr>
      </w:pPr>
    </w:p>
    <w:p w14:paraId="783A435C" w14:textId="29375AD7" w:rsidR="00D3426B" w:rsidRDefault="00AB4063" w:rsidP="00AB4063">
      <w:pPr>
        <w:pStyle w:val="Heading1"/>
      </w:pPr>
      <w:r>
        <w:lastRenderedPageBreak/>
        <w:t xml:space="preserve">Appendix 1: </w:t>
      </w:r>
      <w:r w:rsidR="00942882">
        <w:t>New method for quantification of Scottish Food &amp; Drink Manufacturing Food Waste</w:t>
      </w:r>
    </w:p>
    <w:p w14:paraId="4BA4A1DA" w14:textId="65D054D8" w:rsidR="00942882" w:rsidRDefault="00942882" w:rsidP="00942882"/>
    <w:p w14:paraId="60AFF905" w14:textId="5DD81D46" w:rsidR="00A753B3" w:rsidRDefault="003366B8" w:rsidP="00FE3CAD">
      <w:pPr>
        <w:spacing w:after="0"/>
      </w:pPr>
      <w:r>
        <w:t xml:space="preserve">Waste data codes do not well align with food/non-food material, as they were not designed to do so.  This is primarily a constraint on business waste estimates, where the original baseline method depended very heavily on existing waste codes in SEPA data.  </w:t>
      </w:r>
      <w:r w:rsidRPr="003366B8">
        <w:t>The ‘Quantification of food surplus, waste and related materials in the grocery supply chain</w:t>
      </w:r>
      <w:r>
        <w:t>’ (</w:t>
      </w:r>
      <w:hyperlink r:id="rId13" w:history="1">
        <w:r w:rsidRPr="003366B8">
          <w:rPr>
            <w:rStyle w:val="Hyperlink"/>
          </w:rPr>
          <w:t>WRAP, 2016</w:t>
        </w:r>
      </w:hyperlink>
      <w:r>
        <w:t>), highlighted that some codes treated as 100% food waste in the Scottish baseline, are not.  Comparison to other studies</w:t>
      </w:r>
      <w:r w:rsidR="00FE3CAD">
        <w:t xml:space="preserve"> (which include site specific compositional studies and </w:t>
      </w:r>
      <w:r w:rsidR="00E12FEB">
        <w:t>surveys</w:t>
      </w:r>
      <w:r w:rsidR="00FE3CAD">
        <w:t>)</w:t>
      </w:r>
      <w:r>
        <w:t xml:space="preserve"> also suggests that some of the food content factors applied to mixed waste codes in the Scottish baseline may be too high.  </w:t>
      </w:r>
      <w:r w:rsidR="00A753B3">
        <w:t xml:space="preserve">Zero Waste Scotland investigated this </w:t>
      </w:r>
      <w:r>
        <w:t xml:space="preserve">and </w:t>
      </w:r>
      <w:r w:rsidR="00A753B3">
        <w:t>concluded, in discussion with SEPA, Scottish Government and stakeholders, that</w:t>
      </w:r>
      <w:r>
        <w:t xml:space="preserve"> a reduction in baseline estimates for solid waste from food and drink manufacturing, and for other business food waste, </w:t>
      </w:r>
      <w:r w:rsidR="00A753B3">
        <w:t>was justified, utilising the conversion factors developed under the UK study (</w:t>
      </w:r>
      <w:hyperlink r:id="rId14" w:history="1">
        <w:r w:rsidR="00A753B3" w:rsidRPr="003366B8">
          <w:rPr>
            <w:rStyle w:val="Hyperlink"/>
          </w:rPr>
          <w:t>WRAP, 2016</w:t>
        </w:r>
      </w:hyperlink>
      <w:r w:rsidR="00A753B3">
        <w:t>).</w:t>
      </w:r>
      <w:r>
        <w:t xml:space="preserve"> </w:t>
      </w:r>
    </w:p>
    <w:p w14:paraId="54B3857E" w14:textId="77777777" w:rsidR="00FE3CAD" w:rsidRDefault="00FE3CAD" w:rsidP="00FE3CAD">
      <w:pPr>
        <w:spacing w:after="0"/>
      </w:pPr>
    </w:p>
    <w:p w14:paraId="433ABD34" w14:textId="1AC78A90" w:rsidR="003366B8" w:rsidRDefault="00A753B3" w:rsidP="00AF0F44">
      <w:r>
        <w:t xml:space="preserve">The table below provides a summary of the European Waste Codes (EWC) relevant to food waste in Scottish Food &amp; Drink Manufacturing sector together with the total waste values, original conversion factor, original 2013 baseline value, the UK conversion factor and the revised 2013 baseline value for Scottish F&amp;D manufacturing. </w:t>
      </w:r>
      <w:r w:rsidR="003366B8">
        <w:t>The estimate</w:t>
      </w:r>
      <w:r>
        <w:t xml:space="preserve"> total</w:t>
      </w:r>
      <w:r w:rsidR="003366B8">
        <w:t xml:space="preserve"> utilised in the </w:t>
      </w:r>
      <w:r>
        <w:t>original</w:t>
      </w:r>
      <w:r w:rsidR="003366B8">
        <w:t xml:space="preserve"> 2013 baseline is shown in yellow boxes in the table below with the updated estimates highlighted in green boxes.</w:t>
      </w:r>
    </w:p>
    <w:tbl>
      <w:tblPr>
        <w:tblW w:w="14034" w:type="dxa"/>
        <w:tblInd w:w="-147" w:type="dxa"/>
        <w:tblLook w:val="04A0" w:firstRow="1" w:lastRow="0" w:firstColumn="1" w:lastColumn="0" w:noHBand="0" w:noVBand="1"/>
      </w:tblPr>
      <w:tblGrid>
        <w:gridCol w:w="4270"/>
        <w:gridCol w:w="963"/>
        <w:gridCol w:w="992"/>
        <w:gridCol w:w="1147"/>
        <w:gridCol w:w="1275"/>
        <w:gridCol w:w="1560"/>
        <w:gridCol w:w="1559"/>
        <w:gridCol w:w="2268"/>
      </w:tblGrid>
      <w:tr w:rsidR="002A4ACA" w:rsidRPr="00C00CEA" w14:paraId="78AF1E32" w14:textId="77777777" w:rsidTr="002E23CF">
        <w:trPr>
          <w:trHeight w:val="179"/>
        </w:trPr>
        <w:tc>
          <w:tcPr>
            <w:tcW w:w="5233" w:type="dxa"/>
            <w:gridSpan w:val="2"/>
            <w:tcBorders>
              <w:top w:val="single" w:sz="4" w:space="0" w:color="auto"/>
              <w:left w:val="single" w:sz="4" w:space="0" w:color="auto"/>
              <w:bottom w:val="single" w:sz="4" w:space="0" w:color="auto"/>
              <w:right w:val="single" w:sz="4" w:space="0" w:color="auto"/>
            </w:tcBorders>
            <w:shd w:val="clear" w:color="auto" w:fill="A5A5A5" w:themeFill="accent3"/>
          </w:tcPr>
          <w:p w14:paraId="577F920F" w14:textId="2EBA5B35" w:rsidR="002A4ACA" w:rsidRPr="00985423" w:rsidRDefault="002A4ACA" w:rsidP="00985423">
            <w:pPr>
              <w:spacing w:after="0" w:line="240" w:lineRule="auto"/>
              <w:jc w:val="center"/>
              <w:rPr>
                <w:rFonts w:ascii="Calibri" w:eastAsia="Times New Roman" w:hAnsi="Calibri" w:cs="Calibri"/>
                <w:b/>
                <w:color w:val="FFFFFF" w:themeColor="background1"/>
                <w:sz w:val="18"/>
                <w:szCs w:val="16"/>
                <w:lang w:eastAsia="en-GB"/>
              </w:rPr>
            </w:pPr>
            <w:r w:rsidRPr="002A4ACA">
              <w:rPr>
                <w:rFonts w:ascii="Calibri" w:eastAsia="Times New Roman" w:hAnsi="Calibri" w:cs="Calibri"/>
                <w:b/>
                <w:color w:val="FFFFFF" w:themeColor="background1"/>
                <w:sz w:val="20"/>
                <w:szCs w:val="16"/>
                <w:lang w:eastAsia="en-GB"/>
              </w:rPr>
              <w:t>EWC CLASSIFICATIONS</w:t>
            </w:r>
          </w:p>
        </w:tc>
        <w:tc>
          <w:tcPr>
            <w:tcW w:w="992" w:type="dxa"/>
            <w:tcBorders>
              <w:top w:val="single" w:sz="4" w:space="0" w:color="auto"/>
              <w:left w:val="single" w:sz="4" w:space="0" w:color="auto"/>
              <w:bottom w:val="single" w:sz="4" w:space="0" w:color="auto"/>
              <w:right w:val="single" w:sz="4" w:space="0" w:color="auto"/>
            </w:tcBorders>
            <w:shd w:val="clear" w:color="auto" w:fill="A5A5A5" w:themeFill="accent3"/>
            <w:noWrap/>
            <w:vAlign w:val="bottom"/>
          </w:tcPr>
          <w:p w14:paraId="593D5F9A" w14:textId="5D13B124" w:rsidR="002A4ACA" w:rsidRPr="00985423" w:rsidRDefault="002A4ACA" w:rsidP="00985423">
            <w:pPr>
              <w:spacing w:after="0" w:line="240" w:lineRule="auto"/>
              <w:jc w:val="center"/>
              <w:rPr>
                <w:rFonts w:ascii="Calibri" w:eastAsia="Times New Roman" w:hAnsi="Calibri" w:cs="Calibri"/>
                <w:b/>
                <w:color w:val="FFFFFF" w:themeColor="background1"/>
                <w:sz w:val="18"/>
                <w:szCs w:val="16"/>
                <w:lang w:eastAsia="en-GB"/>
              </w:rPr>
            </w:pPr>
            <w:r w:rsidRPr="002A4ACA">
              <w:rPr>
                <w:rFonts w:ascii="Calibri" w:eastAsia="Times New Roman" w:hAnsi="Calibri" w:cs="Calibri"/>
                <w:b/>
                <w:color w:val="FFFFFF" w:themeColor="background1"/>
                <w:sz w:val="20"/>
                <w:szCs w:val="16"/>
                <w:lang w:eastAsia="en-GB"/>
              </w:rPr>
              <w:t>SEPA DATA</w:t>
            </w:r>
          </w:p>
        </w:tc>
        <w:tc>
          <w:tcPr>
            <w:tcW w:w="3982" w:type="dxa"/>
            <w:gridSpan w:val="3"/>
            <w:tcBorders>
              <w:top w:val="single" w:sz="4" w:space="0" w:color="auto"/>
              <w:left w:val="nil"/>
              <w:bottom w:val="single" w:sz="4" w:space="0" w:color="auto"/>
              <w:right w:val="single" w:sz="4" w:space="0" w:color="auto"/>
            </w:tcBorders>
            <w:shd w:val="clear" w:color="auto" w:fill="A5A5A5" w:themeFill="accent3"/>
            <w:noWrap/>
            <w:vAlign w:val="bottom"/>
          </w:tcPr>
          <w:p w14:paraId="517869E4" w14:textId="0E0B3898" w:rsidR="002A4ACA" w:rsidRDefault="002A4ACA" w:rsidP="00985423">
            <w:pPr>
              <w:spacing w:after="0" w:line="240" w:lineRule="auto"/>
              <w:jc w:val="center"/>
              <w:rPr>
                <w:rFonts w:ascii="Calibri" w:eastAsia="Times New Roman" w:hAnsi="Calibri" w:cs="Calibri"/>
                <w:b/>
                <w:color w:val="FFFFFF" w:themeColor="background1"/>
                <w:sz w:val="20"/>
                <w:szCs w:val="16"/>
                <w:lang w:eastAsia="en-GB"/>
              </w:rPr>
            </w:pPr>
            <w:r w:rsidRPr="00985423">
              <w:rPr>
                <w:rFonts w:ascii="Calibri" w:eastAsia="Times New Roman" w:hAnsi="Calibri" w:cs="Calibri"/>
                <w:b/>
                <w:color w:val="FFFFFF" w:themeColor="background1"/>
                <w:sz w:val="20"/>
                <w:szCs w:val="16"/>
                <w:lang w:eastAsia="en-GB"/>
              </w:rPr>
              <w:t>SCOTTISH BASELINE (o</w:t>
            </w:r>
            <w:r w:rsidR="003366B8">
              <w:rPr>
                <w:rFonts w:ascii="Calibri" w:eastAsia="Times New Roman" w:hAnsi="Calibri" w:cs="Calibri"/>
                <w:b/>
                <w:color w:val="FFFFFF" w:themeColor="background1"/>
                <w:sz w:val="20"/>
                <w:szCs w:val="16"/>
                <w:lang w:eastAsia="en-GB"/>
              </w:rPr>
              <w:t xml:space="preserve">riginal </w:t>
            </w:r>
            <w:r w:rsidRPr="00985423">
              <w:rPr>
                <w:rFonts w:ascii="Calibri" w:eastAsia="Times New Roman" w:hAnsi="Calibri" w:cs="Calibri"/>
                <w:b/>
                <w:color w:val="FFFFFF" w:themeColor="background1"/>
                <w:sz w:val="20"/>
                <w:szCs w:val="16"/>
                <w:lang w:eastAsia="en-GB"/>
              </w:rPr>
              <w:t>method)</w:t>
            </w:r>
          </w:p>
          <w:p w14:paraId="32EA1903" w14:textId="6F6003A3" w:rsidR="002A4ACA" w:rsidRPr="00985423" w:rsidRDefault="002A4ACA" w:rsidP="00985423">
            <w:pPr>
              <w:spacing w:after="0" w:line="240" w:lineRule="auto"/>
              <w:jc w:val="center"/>
              <w:rPr>
                <w:rFonts w:ascii="Calibri" w:eastAsia="Times New Roman" w:hAnsi="Calibri" w:cs="Calibri"/>
                <w:b/>
                <w:color w:val="FFFFFF" w:themeColor="background1"/>
                <w:sz w:val="20"/>
                <w:szCs w:val="16"/>
                <w:lang w:eastAsia="en-GB"/>
              </w:rPr>
            </w:pPr>
          </w:p>
        </w:tc>
        <w:tc>
          <w:tcPr>
            <w:tcW w:w="3827" w:type="dxa"/>
            <w:gridSpan w:val="2"/>
            <w:tcBorders>
              <w:top w:val="single" w:sz="4" w:space="0" w:color="auto"/>
              <w:left w:val="nil"/>
              <w:bottom w:val="single" w:sz="4" w:space="0" w:color="auto"/>
              <w:right w:val="single" w:sz="4" w:space="0" w:color="auto"/>
            </w:tcBorders>
            <w:shd w:val="clear" w:color="auto" w:fill="A5A5A5" w:themeFill="accent3"/>
            <w:vAlign w:val="bottom"/>
          </w:tcPr>
          <w:p w14:paraId="7CCA51C0" w14:textId="7C5CBD96" w:rsidR="002A4ACA" w:rsidRPr="00985423" w:rsidRDefault="002A4ACA" w:rsidP="00985423">
            <w:pPr>
              <w:spacing w:after="0" w:line="240" w:lineRule="auto"/>
              <w:jc w:val="center"/>
              <w:rPr>
                <w:rFonts w:ascii="Calibri" w:eastAsia="Times New Roman" w:hAnsi="Calibri" w:cs="Calibri"/>
                <w:b/>
                <w:color w:val="FFFFFF" w:themeColor="background1"/>
                <w:sz w:val="20"/>
                <w:szCs w:val="16"/>
                <w:lang w:eastAsia="en-GB"/>
              </w:rPr>
            </w:pPr>
            <w:r w:rsidRPr="00985423">
              <w:rPr>
                <w:rFonts w:ascii="Calibri" w:eastAsia="Times New Roman" w:hAnsi="Calibri" w:cs="Calibri"/>
                <w:b/>
                <w:color w:val="FFFFFF" w:themeColor="background1"/>
                <w:sz w:val="20"/>
                <w:szCs w:val="16"/>
                <w:lang w:eastAsia="en-GB"/>
              </w:rPr>
              <w:t>UK METHOD FOR SCOTLAND F&amp;D MANUFACTURING</w:t>
            </w:r>
            <w:r>
              <w:rPr>
                <w:rFonts w:ascii="Calibri" w:eastAsia="Times New Roman" w:hAnsi="Calibri" w:cs="Calibri"/>
                <w:b/>
                <w:color w:val="FFFFFF" w:themeColor="background1"/>
                <w:sz w:val="20"/>
                <w:szCs w:val="16"/>
                <w:lang w:eastAsia="en-GB"/>
              </w:rPr>
              <w:t xml:space="preserve"> (new </w:t>
            </w:r>
            <w:r w:rsidR="003366B8">
              <w:rPr>
                <w:rFonts w:ascii="Calibri" w:eastAsia="Times New Roman" w:hAnsi="Calibri" w:cs="Calibri"/>
                <w:b/>
                <w:color w:val="FFFFFF" w:themeColor="background1"/>
                <w:sz w:val="20"/>
                <w:szCs w:val="16"/>
                <w:lang w:eastAsia="en-GB"/>
              </w:rPr>
              <w:t>method</w:t>
            </w:r>
            <w:r>
              <w:rPr>
                <w:rFonts w:ascii="Calibri" w:eastAsia="Times New Roman" w:hAnsi="Calibri" w:cs="Calibri"/>
                <w:b/>
                <w:color w:val="FFFFFF" w:themeColor="background1"/>
                <w:sz w:val="20"/>
                <w:szCs w:val="16"/>
                <w:lang w:eastAsia="en-GB"/>
              </w:rPr>
              <w:t>)</w:t>
            </w:r>
          </w:p>
        </w:tc>
      </w:tr>
      <w:tr w:rsidR="002E23CF" w:rsidRPr="00C00CEA" w14:paraId="63BFE0A7" w14:textId="77777777" w:rsidTr="002E23CF">
        <w:trPr>
          <w:trHeight w:val="177"/>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6F690C10" w14:textId="50A40B84" w:rsidR="002A4ACA" w:rsidRPr="00BA2FEC" w:rsidRDefault="002A4ACA" w:rsidP="00C00CEA">
            <w:pPr>
              <w:spacing w:after="0" w:line="240" w:lineRule="auto"/>
              <w:jc w:val="left"/>
              <w:rPr>
                <w:rFonts w:ascii="Calibri" w:eastAsia="Times New Roman" w:hAnsi="Calibri" w:cs="Calibri"/>
                <w:b/>
                <w:sz w:val="20"/>
                <w:szCs w:val="16"/>
                <w:lang w:eastAsia="en-GB"/>
              </w:rPr>
            </w:pPr>
            <w:r w:rsidRPr="00BA2FEC">
              <w:rPr>
                <w:rFonts w:ascii="Calibri" w:eastAsia="Times New Roman" w:hAnsi="Calibri" w:cs="Calibri"/>
                <w:b/>
                <w:sz w:val="20"/>
                <w:szCs w:val="16"/>
                <w:lang w:eastAsia="en-GB"/>
              </w:rPr>
              <w:t xml:space="preserve">EWC </w:t>
            </w:r>
            <w:r>
              <w:rPr>
                <w:rFonts w:ascii="Calibri" w:eastAsia="Times New Roman" w:hAnsi="Calibri" w:cs="Calibri"/>
                <w:b/>
                <w:sz w:val="20"/>
                <w:szCs w:val="16"/>
                <w:lang w:eastAsia="en-GB"/>
              </w:rPr>
              <w:t>Description</w:t>
            </w:r>
          </w:p>
        </w:tc>
        <w:tc>
          <w:tcPr>
            <w:tcW w:w="963" w:type="dxa"/>
            <w:tcBorders>
              <w:top w:val="single" w:sz="4" w:space="0" w:color="auto"/>
              <w:left w:val="nil"/>
              <w:bottom w:val="single" w:sz="4" w:space="0" w:color="auto"/>
              <w:right w:val="single" w:sz="4" w:space="0" w:color="auto"/>
            </w:tcBorders>
          </w:tcPr>
          <w:p w14:paraId="0128D26D" w14:textId="4782355E" w:rsidR="002A4ACA" w:rsidRPr="00BA2FEC" w:rsidRDefault="002A4ACA" w:rsidP="003D118D">
            <w:pPr>
              <w:spacing w:after="0" w:line="240" w:lineRule="auto"/>
              <w:jc w:val="center"/>
              <w:rPr>
                <w:rFonts w:ascii="Calibri" w:eastAsia="Times New Roman" w:hAnsi="Calibri" w:cs="Calibri"/>
                <w:b/>
                <w:sz w:val="20"/>
                <w:szCs w:val="16"/>
                <w:lang w:eastAsia="en-GB"/>
              </w:rPr>
            </w:pPr>
            <w:r>
              <w:rPr>
                <w:rFonts w:ascii="Calibri" w:eastAsia="Times New Roman" w:hAnsi="Calibri" w:cs="Calibri"/>
                <w:b/>
                <w:sz w:val="20"/>
                <w:szCs w:val="16"/>
                <w:lang w:eastAsia="en-GB"/>
              </w:rPr>
              <w:t>EWC code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8D4BB9" w14:textId="54133D70" w:rsidR="002A4ACA" w:rsidRPr="00BA2FEC" w:rsidRDefault="002A4ACA" w:rsidP="003D118D">
            <w:pPr>
              <w:spacing w:after="0" w:line="240" w:lineRule="auto"/>
              <w:jc w:val="center"/>
              <w:rPr>
                <w:rFonts w:ascii="Calibri" w:eastAsia="Times New Roman" w:hAnsi="Calibri" w:cs="Calibri"/>
                <w:b/>
                <w:sz w:val="20"/>
                <w:szCs w:val="16"/>
                <w:lang w:eastAsia="en-GB"/>
              </w:rPr>
            </w:pPr>
            <w:r w:rsidRPr="00BA2FEC">
              <w:rPr>
                <w:rFonts w:ascii="Calibri" w:eastAsia="Times New Roman" w:hAnsi="Calibri" w:cs="Calibri"/>
                <w:b/>
                <w:sz w:val="20"/>
                <w:szCs w:val="16"/>
                <w:lang w:eastAsia="en-GB"/>
              </w:rPr>
              <w:t>Total</w:t>
            </w:r>
          </w:p>
        </w:tc>
        <w:tc>
          <w:tcPr>
            <w:tcW w:w="1147" w:type="dxa"/>
            <w:tcBorders>
              <w:top w:val="single" w:sz="4" w:space="0" w:color="auto"/>
              <w:left w:val="nil"/>
              <w:bottom w:val="single" w:sz="4" w:space="0" w:color="auto"/>
              <w:right w:val="single" w:sz="4" w:space="0" w:color="auto"/>
            </w:tcBorders>
            <w:shd w:val="clear" w:color="auto" w:fill="auto"/>
            <w:noWrap/>
            <w:vAlign w:val="bottom"/>
          </w:tcPr>
          <w:p w14:paraId="4E9EBD97" w14:textId="68D433CB" w:rsidR="002A4ACA" w:rsidRPr="00BA2FEC" w:rsidRDefault="002A4ACA" w:rsidP="003D118D">
            <w:pPr>
              <w:spacing w:after="0" w:line="240" w:lineRule="auto"/>
              <w:jc w:val="center"/>
              <w:rPr>
                <w:rFonts w:ascii="Calibri" w:eastAsia="Times New Roman" w:hAnsi="Calibri" w:cs="Calibri"/>
                <w:b/>
                <w:sz w:val="20"/>
                <w:szCs w:val="16"/>
                <w:lang w:eastAsia="en-GB"/>
              </w:rPr>
            </w:pPr>
            <w:r w:rsidRPr="00BA2FEC">
              <w:rPr>
                <w:rFonts w:ascii="Calibri" w:eastAsia="Times New Roman" w:hAnsi="Calibri" w:cs="Calibri"/>
                <w:b/>
                <w:sz w:val="20"/>
                <w:szCs w:val="16"/>
                <w:lang w:eastAsia="en-GB"/>
              </w:rPr>
              <w:t>Conversion factor used</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3ADC2B56" w14:textId="00E33D22" w:rsidR="002A4ACA" w:rsidRPr="00BA2FEC" w:rsidRDefault="002A4ACA" w:rsidP="003D118D">
            <w:pPr>
              <w:spacing w:after="0" w:line="240" w:lineRule="auto"/>
              <w:jc w:val="center"/>
              <w:rPr>
                <w:rFonts w:ascii="Calibri" w:eastAsia="Times New Roman" w:hAnsi="Calibri" w:cs="Calibri"/>
                <w:b/>
                <w:sz w:val="20"/>
                <w:szCs w:val="16"/>
                <w:lang w:eastAsia="en-GB"/>
              </w:rPr>
            </w:pPr>
            <w:r w:rsidRPr="00BA2FEC">
              <w:rPr>
                <w:rFonts w:ascii="Calibri" w:eastAsia="Times New Roman" w:hAnsi="Calibri" w:cs="Calibri"/>
                <w:b/>
                <w:sz w:val="20"/>
                <w:szCs w:val="16"/>
                <w:lang w:eastAsia="en-GB"/>
              </w:rPr>
              <w:t>Scottish Overall 2013 Baseline</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2B776825" w14:textId="3191C29F" w:rsidR="002A4ACA" w:rsidRPr="00BA2FEC" w:rsidRDefault="002A4ACA" w:rsidP="003D118D">
            <w:pPr>
              <w:spacing w:after="0" w:line="240" w:lineRule="auto"/>
              <w:jc w:val="center"/>
              <w:rPr>
                <w:rFonts w:ascii="Calibri" w:eastAsia="Times New Roman" w:hAnsi="Calibri" w:cs="Calibri"/>
                <w:b/>
                <w:sz w:val="20"/>
                <w:szCs w:val="16"/>
                <w:lang w:eastAsia="en-GB"/>
              </w:rPr>
            </w:pPr>
            <w:r>
              <w:rPr>
                <w:rFonts w:ascii="Calibri" w:eastAsia="Times New Roman" w:hAnsi="Calibri" w:cs="Calibri"/>
                <w:b/>
                <w:sz w:val="20"/>
                <w:szCs w:val="16"/>
                <w:lang w:eastAsia="en-GB"/>
              </w:rPr>
              <w:t>Scottish F&amp;D</w:t>
            </w:r>
            <w:r w:rsidRPr="00BA2FEC">
              <w:rPr>
                <w:rFonts w:ascii="Calibri" w:eastAsia="Times New Roman" w:hAnsi="Calibri" w:cs="Calibri"/>
                <w:b/>
                <w:sz w:val="20"/>
                <w:szCs w:val="16"/>
                <w:lang w:eastAsia="en-GB"/>
              </w:rPr>
              <w:t xml:space="preserve"> Manufacturing Only</w:t>
            </w:r>
            <w:r>
              <w:rPr>
                <w:rFonts w:ascii="Calibri" w:eastAsia="Times New Roman" w:hAnsi="Calibri" w:cs="Calibri"/>
                <w:b/>
                <w:sz w:val="20"/>
                <w:szCs w:val="16"/>
                <w:lang w:eastAsia="en-GB"/>
              </w:rPr>
              <w:t xml:space="preserve"> (tonnes)</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E32E7B" w14:textId="53248303" w:rsidR="002A4ACA" w:rsidRPr="00BA2FEC" w:rsidRDefault="002A4ACA" w:rsidP="003D118D">
            <w:pPr>
              <w:spacing w:after="0" w:line="240" w:lineRule="auto"/>
              <w:jc w:val="center"/>
              <w:rPr>
                <w:rFonts w:ascii="Calibri" w:eastAsia="Times New Roman" w:hAnsi="Calibri" w:cs="Calibri"/>
                <w:b/>
                <w:sz w:val="20"/>
                <w:szCs w:val="16"/>
                <w:lang w:eastAsia="en-GB"/>
              </w:rPr>
            </w:pPr>
            <w:r w:rsidRPr="00BA2FEC">
              <w:rPr>
                <w:rFonts w:ascii="Calibri" w:eastAsia="Times New Roman" w:hAnsi="Calibri" w:cs="Calibri"/>
                <w:b/>
                <w:sz w:val="20"/>
                <w:szCs w:val="16"/>
                <w:lang w:eastAsia="en-GB"/>
              </w:rPr>
              <w:t>UK Conversion factor</w:t>
            </w:r>
          </w:p>
        </w:tc>
        <w:tc>
          <w:tcPr>
            <w:tcW w:w="226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0C7AF2C3" w14:textId="5009D549" w:rsidR="002A4ACA" w:rsidRPr="00BA2FEC" w:rsidRDefault="002A4ACA" w:rsidP="003D118D">
            <w:pPr>
              <w:spacing w:after="0" w:line="240" w:lineRule="auto"/>
              <w:jc w:val="center"/>
              <w:rPr>
                <w:rFonts w:ascii="Calibri" w:eastAsia="Times New Roman" w:hAnsi="Calibri" w:cs="Calibri"/>
                <w:b/>
                <w:sz w:val="20"/>
                <w:szCs w:val="16"/>
                <w:lang w:eastAsia="en-GB"/>
              </w:rPr>
            </w:pPr>
            <w:r w:rsidRPr="00C00CEA">
              <w:rPr>
                <w:rFonts w:ascii="Calibri" w:eastAsia="Times New Roman" w:hAnsi="Calibri" w:cs="Calibri"/>
                <w:b/>
                <w:bCs/>
                <w:color w:val="000000"/>
                <w:sz w:val="20"/>
                <w:szCs w:val="16"/>
                <w:lang w:eastAsia="en-GB"/>
              </w:rPr>
              <w:t>Scottish F&amp;D manufacturing data using UK factor</w:t>
            </w:r>
            <w:r>
              <w:rPr>
                <w:rFonts w:ascii="Calibri" w:eastAsia="Times New Roman" w:hAnsi="Calibri" w:cs="Calibri"/>
                <w:b/>
                <w:bCs/>
                <w:color w:val="000000"/>
                <w:sz w:val="20"/>
                <w:szCs w:val="16"/>
                <w:lang w:eastAsia="en-GB"/>
              </w:rPr>
              <w:t xml:space="preserve"> (tonnes)</w:t>
            </w:r>
          </w:p>
        </w:tc>
      </w:tr>
      <w:tr w:rsidR="0087553A" w:rsidRPr="00C00CEA" w14:paraId="34078A4F"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643220E3" w14:textId="39EE6D9A" w:rsidR="0087553A" w:rsidRPr="003C34B1" w:rsidRDefault="0087553A" w:rsidP="0087553A">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preparation and processing of meat, fish and other foods of animal origin - sludges from washing and cleaning</w:t>
            </w:r>
          </w:p>
        </w:tc>
        <w:tc>
          <w:tcPr>
            <w:tcW w:w="963" w:type="dxa"/>
            <w:tcBorders>
              <w:top w:val="single" w:sz="4" w:space="0" w:color="auto"/>
              <w:left w:val="single" w:sz="4" w:space="0" w:color="auto"/>
              <w:bottom w:val="single" w:sz="4" w:space="0" w:color="auto"/>
              <w:right w:val="single" w:sz="4" w:space="0" w:color="auto"/>
            </w:tcBorders>
            <w:vAlign w:val="center"/>
          </w:tcPr>
          <w:p w14:paraId="72248498" w14:textId="0AEF91CD" w:rsidR="0087553A" w:rsidRPr="002A4ACA" w:rsidRDefault="0087553A" w:rsidP="006A1EFD">
            <w:pPr>
              <w:spacing w:after="0" w:line="240" w:lineRule="auto"/>
              <w:jc w:val="center"/>
              <w:rPr>
                <w:rFonts w:ascii="Calibri" w:eastAsia="Times New Roman" w:hAnsi="Calibri" w:cs="Calibri"/>
                <w:sz w:val="20"/>
                <w:szCs w:val="20"/>
                <w:lang w:eastAsia="en-GB"/>
              </w:rPr>
            </w:pPr>
            <w:r w:rsidRPr="002A4ACA">
              <w:rPr>
                <w:rFonts w:ascii="Calibri" w:eastAsia="Times New Roman" w:hAnsi="Calibri" w:cs="Calibri"/>
                <w:sz w:val="20"/>
                <w:szCs w:val="20"/>
                <w:lang w:eastAsia="en-GB"/>
              </w:rPr>
              <w:t>02 02 01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FBD24" w14:textId="23B92BAF" w:rsidR="0087553A" w:rsidRPr="00C00CEA" w:rsidRDefault="0087553A"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34,663</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080D15" w14:textId="11CD939F" w:rsidR="0087553A" w:rsidRPr="00C00CEA" w:rsidRDefault="0087553A"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AB3F8" w14:textId="16A4F356" w:rsidR="0087553A" w:rsidRPr="00C00CEA" w:rsidRDefault="0087553A"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34,663</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9072D06" w14:textId="5117E30A" w:rsidR="0087553A" w:rsidRPr="00C00CEA" w:rsidRDefault="0087553A"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34,374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5729CE" w14:textId="1C6DC456" w:rsidR="0087553A" w:rsidRPr="00C00CEA" w:rsidRDefault="0087553A"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0.30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1EB8985" w14:textId="3A11D895" w:rsidR="0087553A" w:rsidRDefault="0087553A"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10,312</w:t>
            </w:r>
          </w:p>
        </w:tc>
      </w:tr>
      <w:tr w:rsidR="006A1EFD" w:rsidRPr="00C00CEA" w14:paraId="356ED5A6"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06128879" w14:textId="29EF7805"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preparation and processing of meat, fish and other foods of animal origin - animal-tissue waste</w:t>
            </w:r>
          </w:p>
        </w:tc>
        <w:tc>
          <w:tcPr>
            <w:tcW w:w="963" w:type="dxa"/>
            <w:tcBorders>
              <w:top w:val="single" w:sz="4" w:space="0" w:color="auto"/>
              <w:left w:val="single" w:sz="4" w:space="0" w:color="auto"/>
              <w:bottom w:val="single" w:sz="4" w:space="0" w:color="auto"/>
              <w:right w:val="single" w:sz="4" w:space="0" w:color="auto"/>
            </w:tcBorders>
            <w:vAlign w:val="center"/>
          </w:tcPr>
          <w:p w14:paraId="100A3A37" w14:textId="62DC0F43" w:rsidR="006A1EFD" w:rsidRPr="002A4ACA" w:rsidRDefault="006A1EFD" w:rsidP="006A1EFD">
            <w:pPr>
              <w:spacing w:after="0" w:line="240" w:lineRule="auto"/>
              <w:jc w:val="center"/>
              <w:rPr>
                <w:rFonts w:ascii="Calibri" w:eastAsia="Times New Roman" w:hAnsi="Calibri" w:cs="Calibri"/>
                <w:sz w:val="20"/>
                <w:szCs w:val="20"/>
                <w:lang w:eastAsia="en-GB"/>
              </w:rPr>
            </w:pPr>
            <w:r w:rsidRPr="003C34B1">
              <w:rPr>
                <w:rFonts w:ascii="Calibri" w:eastAsia="Times New Roman" w:hAnsi="Calibri" w:cs="Calibri"/>
                <w:sz w:val="20"/>
                <w:szCs w:val="16"/>
                <w:lang w:eastAsia="en-GB"/>
              </w:rPr>
              <w:t>02 02 02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8028E" w14:textId="2F426711"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3,277</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6F2B9" w14:textId="2178B5F8"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AAE32" w14:textId="2EE9A6D0"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3,277</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07C9B246" w14:textId="54B14A7C"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3,184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8CF84" w14:textId="3083577B"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excluded</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5CDDB9D" w14:textId="39BFDAC2" w:rsidR="006A1EFD" w:rsidRPr="00C00CEA" w:rsidRDefault="006A1EFD" w:rsidP="006A1EFD">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16"/>
                <w:lang w:eastAsia="en-GB"/>
              </w:rPr>
              <w:t>0</w:t>
            </w:r>
          </w:p>
        </w:tc>
      </w:tr>
      <w:tr w:rsidR="006A1EFD" w:rsidRPr="00C00CEA" w14:paraId="47444B19"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4430E3DC" w14:textId="3955BD65"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preparation and processing of meat, fish and other foods of animal origin - materials unsuitable for consumption or processing</w:t>
            </w:r>
          </w:p>
        </w:tc>
        <w:tc>
          <w:tcPr>
            <w:tcW w:w="963" w:type="dxa"/>
            <w:tcBorders>
              <w:top w:val="single" w:sz="4" w:space="0" w:color="auto"/>
              <w:left w:val="single" w:sz="4" w:space="0" w:color="auto"/>
              <w:bottom w:val="single" w:sz="4" w:space="0" w:color="auto"/>
              <w:right w:val="single" w:sz="4" w:space="0" w:color="auto"/>
            </w:tcBorders>
            <w:vAlign w:val="center"/>
          </w:tcPr>
          <w:p w14:paraId="22A253DA" w14:textId="294FA48F" w:rsidR="006A1EFD" w:rsidRPr="002A4ACA" w:rsidRDefault="006A1EFD" w:rsidP="006A1EFD">
            <w:pPr>
              <w:spacing w:after="0" w:line="240" w:lineRule="auto"/>
              <w:jc w:val="center"/>
              <w:rPr>
                <w:rFonts w:ascii="Calibri" w:eastAsia="Times New Roman" w:hAnsi="Calibri" w:cs="Calibri"/>
                <w:sz w:val="20"/>
                <w:szCs w:val="20"/>
                <w:lang w:eastAsia="en-GB"/>
              </w:rPr>
            </w:pPr>
            <w:r w:rsidRPr="002A4ACA">
              <w:rPr>
                <w:rFonts w:ascii="Calibri" w:eastAsia="Times New Roman" w:hAnsi="Calibri" w:cs="Calibri"/>
                <w:sz w:val="20"/>
                <w:szCs w:val="20"/>
                <w:lang w:eastAsia="en-GB"/>
              </w:rPr>
              <w:t>02 02 03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79F5F" w14:textId="6F68C5C2"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23,146</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9DCCC" w14:textId="21778C14"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085D6B" w14:textId="0245A4A0"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23,146</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8F4AD82" w14:textId="44C93AEF"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19,886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133AF" w14:textId="76E6AE20"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1.00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218AA26" w14:textId="0AB30787" w:rsidR="006A1EFD" w:rsidRPr="00C00CEA" w:rsidRDefault="006A1EFD" w:rsidP="006A1EFD">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21,253</w:t>
            </w:r>
          </w:p>
        </w:tc>
      </w:tr>
      <w:tr w:rsidR="006A1EFD" w:rsidRPr="00C00CEA" w14:paraId="3851C913"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1555B320" w14:textId="597B019E" w:rsidR="006A1EFD" w:rsidRPr="003C34B1" w:rsidRDefault="006A1EFD" w:rsidP="006A1EFD">
            <w:pPr>
              <w:spacing w:after="0" w:line="240" w:lineRule="auto"/>
              <w:jc w:val="left"/>
              <w:rPr>
                <w:rFonts w:ascii="Calibri" w:eastAsia="Times New Roman" w:hAnsi="Calibri" w:cs="Calibri"/>
                <w:sz w:val="20"/>
                <w:szCs w:val="20"/>
                <w:lang w:eastAsia="en-GB"/>
              </w:rPr>
            </w:pPr>
            <w:r w:rsidRPr="005B6F24">
              <w:rPr>
                <w:rFonts w:ascii="Calibri" w:eastAsia="Times New Roman" w:hAnsi="Calibri" w:cs="Calibri"/>
                <w:sz w:val="20"/>
                <w:szCs w:val="20"/>
                <w:lang w:eastAsia="en-GB"/>
              </w:rPr>
              <w:lastRenderedPageBreak/>
              <w:t>wastes from the preparation and processing of meat, fish and other foods of animal origin - sludges from on-site effluent treatment</w:t>
            </w:r>
          </w:p>
        </w:tc>
        <w:tc>
          <w:tcPr>
            <w:tcW w:w="963" w:type="dxa"/>
            <w:tcBorders>
              <w:top w:val="single" w:sz="4" w:space="0" w:color="auto"/>
              <w:left w:val="single" w:sz="4" w:space="0" w:color="auto"/>
              <w:bottom w:val="single" w:sz="4" w:space="0" w:color="auto"/>
              <w:right w:val="single" w:sz="4" w:space="0" w:color="auto"/>
            </w:tcBorders>
            <w:vAlign w:val="center"/>
          </w:tcPr>
          <w:p w14:paraId="13C57FBC" w14:textId="5EF9E2BD" w:rsidR="006A1EFD" w:rsidRPr="002A4ACA" w:rsidRDefault="006A1EFD" w:rsidP="006A1EFD">
            <w:pPr>
              <w:spacing w:after="0" w:line="240" w:lineRule="auto"/>
              <w:jc w:val="center"/>
              <w:rPr>
                <w:rFonts w:ascii="Calibri" w:eastAsia="Times New Roman" w:hAnsi="Calibri" w:cs="Calibri"/>
                <w:sz w:val="20"/>
                <w:szCs w:val="20"/>
                <w:lang w:eastAsia="en-GB"/>
              </w:rPr>
            </w:pPr>
            <w:r w:rsidRPr="005B6F24">
              <w:rPr>
                <w:rFonts w:ascii="Calibri" w:eastAsia="Times New Roman" w:hAnsi="Calibri" w:cs="Calibri"/>
                <w:sz w:val="20"/>
                <w:szCs w:val="16"/>
                <w:lang w:eastAsia="en-GB"/>
              </w:rPr>
              <w:t>02 02 04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2101D" w14:textId="337C4C6B" w:rsidR="006A1EFD" w:rsidRPr="00C00CEA" w:rsidRDefault="006A1EFD" w:rsidP="006A1EFD">
            <w:pPr>
              <w:spacing w:after="0" w:line="240" w:lineRule="auto"/>
              <w:jc w:val="center"/>
              <w:rPr>
                <w:rFonts w:ascii="Calibri" w:eastAsia="Times New Roman" w:hAnsi="Calibri" w:cs="Calibri"/>
                <w:sz w:val="20"/>
                <w:szCs w:val="20"/>
                <w:lang w:eastAsia="en-GB"/>
              </w:rPr>
            </w:pPr>
            <w:r w:rsidRPr="005B6F24">
              <w:rPr>
                <w:rFonts w:ascii="Calibri" w:eastAsia="Times New Roman" w:hAnsi="Calibri" w:cs="Calibri"/>
                <w:sz w:val="20"/>
                <w:szCs w:val="16"/>
                <w:lang w:eastAsia="en-GB"/>
              </w:rPr>
              <w:t>5,059</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0E095" w14:textId="428C83F5" w:rsidR="006A1EFD" w:rsidRPr="00C00CEA" w:rsidRDefault="006A1EFD" w:rsidP="006A1EFD">
            <w:pPr>
              <w:spacing w:after="0" w:line="240" w:lineRule="auto"/>
              <w:jc w:val="center"/>
              <w:rPr>
                <w:rFonts w:ascii="Calibri" w:eastAsia="Times New Roman" w:hAnsi="Calibri" w:cs="Calibri"/>
                <w:sz w:val="20"/>
                <w:szCs w:val="20"/>
                <w:lang w:eastAsia="en-GB"/>
              </w:rPr>
            </w:pPr>
            <w:r w:rsidRPr="005B6F24">
              <w:rPr>
                <w:rFonts w:ascii="Calibri" w:eastAsia="Times New Roman" w:hAnsi="Calibri" w:cs="Calibri"/>
                <w:sz w:val="20"/>
                <w:szCs w:val="16"/>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488E0" w14:textId="23AF14BD" w:rsidR="006A1EFD" w:rsidRPr="00C00CEA" w:rsidRDefault="006A1EFD" w:rsidP="006A1EFD">
            <w:pPr>
              <w:spacing w:after="0" w:line="240" w:lineRule="auto"/>
              <w:jc w:val="center"/>
              <w:rPr>
                <w:rFonts w:ascii="Calibri" w:eastAsia="Times New Roman" w:hAnsi="Calibri" w:cs="Calibri"/>
                <w:sz w:val="20"/>
                <w:szCs w:val="20"/>
                <w:lang w:eastAsia="en-GB"/>
              </w:rPr>
            </w:pPr>
            <w:r w:rsidRPr="005B6F24">
              <w:rPr>
                <w:rFonts w:ascii="Calibri" w:eastAsia="Times New Roman" w:hAnsi="Calibri" w:cs="Calibri"/>
                <w:sz w:val="20"/>
                <w:szCs w:val="16"/>
                <w:lang w:eastAsia="en-GB"/>
              </w:rPr>
              <w:t>5,059</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A63BD8F" w14:textId="0EBB5C1F" w:rsidR="006A1EFD" w:rsidRPr="00C00CEA" w:rsidRDefault="006A1EFD" w:rsidP="006A1EFD">
            <w:pPr>
              <w:spacing w:after="0" w:line="240" w:lineRule="auto"/>
              <w:jc w:val="center"/>
              <w:rPr>
                <w:rFonts w:ascii="Calibri" w:eastAsia="Times New Roman" w:hAnsi="Calibri" w:cs="Calibri"/>
                <w:sz w:val="20"/>
                <w:szCs w:val="20"/>
                <w:lang w:eastAsia="en-GB"/>
              </w:rPr>
            </w:pPr>
            <w:r w:rsidRPr="005B6F24">
              <w:rPr>
                <w:rFonts w:ascii="Calibri" w:eastAsia="Times New Roman" w:hAnsi="Calibri" w:cs="Calibri"/>
                <w:sz w:val="20"/>
                <w:szCs w:val="16"/>
                <w:lang w:eastAsia="en-GB"/>
              </w:rPr>
              <w:t>5,024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BFC06" w14:textId="44C9D359" w:rsidR="006A1EFD" w:rsidRPr="00C00CEA" w:rsidRDefault="006A1EFD" w:rsidP="006A1EFD">
            <w:pPr>
              <w:spacing w:after="0" w:line="240" w:lineRule="auto"/>
              <w:jc w:val="center"/>
              <w:rPr>
                <w:rFonts w:ascii="Calibri" w:eastAsia="Times New Roman" w:hAnsi="Calibri" w:cs="Calibri"/>
                <w:sz w:val="20"/>
                <w:szCs w:val="20"/>
                <w:lang w:eastAsia="en-GB"/>
              </w:rPr>
            </w:pPr>
            <w:r w:rsidRPr="005B6F24">
              <w:rPr>
                <w:rFonts w:ascii="Calibri" w:eastAsia="Times New Roman" w:hAnsi="Calibri" w:cs="Calibri"/>
                <w:sz w:val="20"/>
                <w:szCs w:val="16"/>
                <w:lang w:eastAsia="en-GB"/>
              </w:rPr>
              <w:t>0.30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CB073A9" w14:textId="0DBDDF1E" w:rsidR="006A1EFD" w:rsidRDefault="006A1EFD" w:rsidP="006A1EFD">
            <w:pPr>
              <w:spacing w:after="0" w:line="240" w:lineRule="auto"/>
              <w:jc w:val="center"/>
              <w:rPr>
                <w:rFonts w:ascii="Calibri" w:eastAsia="Times New Roman" w:hAnsi="Calibri" w:cs="Calibri"/>
                <w:sz w:val="20"/>
                <w:szCs w:val="20"/>
                <w:lang w:eastAsia="en-GB"/>
              </w:rPr>
            </w:pPr>
            <w:r w:rsidRPr="005B6F24">
              <w:rPr>
                <w:rFonts w:ascii="Calibri" w:eastAsia="Times New Roman" w:hAnsi="Calibri" w:cs="Calibri"/>
                <w:sz w:val="20"/>
                <w:szCs w:val="16"/>
                <w:lang w:eastAsia="en-GB"/>
              </w:rPr>
              <w:t>1</w:t>
            </w:r>
            <w:r>
              <w:rPr>
                <w:rFonts w:ascii="Calibri" w:eastAsia="Times New Roman" w:hAnsi="Calibri" w:cs="Calibri"/>
                <w:sz w:val="20"/>
                <w:szCs w:val="16"/>
                <w:lang w:eastAsia="en-GB"/>
              </w:rPr>
              <w:t>,352</w:t>
            </w:r>
          </w:p>
        </w:tc>
      </w:tr>
      <w:tr w:rsidR="006A1EFD" w:rsidRPr="00C00CEA" w14:paraId="19B33445"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5FD0452F" w14:textId="3B91FDE5" w:rsidR="006A1EFD" w:rsidRPr="005B6F24"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preparation and processing of meat, fish and other foods of animal origin - wastes not otherwise specified</w:t>
            </w:r>
          </w:p>
        </w:tc>
        <w:tc>
          <w:tcPr>
            <w:tcW w:w="963" w:type="dxa"/>
            <w:tcBorders>
              <w:top w:val="single" w:sz="4" w:space="0" w:color="auto"/>
              <w:left w:val="single" w:sz="4" w:space="0" w:color="auto"/>
              <w:bottom w:val="single" w:sz="4" w:space="0" w:color="auto"/>
              <w:right w:val="single" w:sz="4" w:space="0" w:color="auto"/>
            </w:tcBorders>
            <w:vAlign w:val="center"/>
          </w:tcPr>
          <w:p w14:paraId="53FAF503" w14:textId="6AC5FB87" w:rsidR="006A1EFD" w:rsidRPr="005B6F24" w:rsidRDefault="006A1EFD" w:rsidP="006A1EFD">
            <w:pPr>
              <w:spacing w:after="0" w:line="240" w:lineRule="auto"/>
              <w:jc w:val="center"/>
              <w:rPr>
                <w:rFonts w:ascii="Calibri" w:eastAsia="Times New Roman" w:hAnsi="Calibri" w:cs="Calibri"/>
                <w:sz w:val="20"/>
                <w:szCs w:val="16"/>
                <w:lang w:eastAsia="en-GB"/>
              </w:rPr>
            </w:pPr>
            <w:r w:rsidRPr="00F57DE8">
              <w:rPr>
                <w:rFonts w:ascii="Calibri" w:eastAsia="Times New Roman" w:hAnsi="Calibri" w:cs="Calibri"/>
                <w:sz w:val="20"/>
                <w:szCs w:val="16"/>
                <w:lang w:eastAsia="en-GB"/>
              </w:rPr>
              <w:t>02 02 99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6653B" w14:textId="484F52DE"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3,429</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66CE9" w14:textId="262AECFC"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D16BE" w14:textId="57D24D52"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3,429</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7BDE204E" w14:textId="39ED3175"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3,023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A53C3" w14:textId="5B8F3A35"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excluded</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CBC2A65" w14:textId="20B8E1E4" w:rsidR="006A1EFD" w:rsidRPr="005B6F24" w:rsidRDefault="006A1EFD" w:rsidP="006A1EFD">
            <w:pPr>
              <w:spacing w:after="0" w:line="240" w:lineRule="auto"/>
              <w:jc w:val="center"/>
              <w:rPr>
                <w:rFonts w:ascii="Calibri" w:eastAsia="Times New Roman" w:hAnsi="Calibri" w:cs="Calibri"/>
                <w:sz w:val="20"/>
                <w:szCs w:val="16"/>
                <w:lang w:eastAsia="en-GB"/>
              </w:rPr>
            </w:pPr>
            <w:r>
              <w:rPr>
                <w:rFonts w:ascii="Calibri" w:eastAsia="Times New Roman" w:hAnsi="Calibri" w:cs="Calibri"/>
                <w:sz w:val="20"/>
                <w:szCs w:val="16"/>
                <w:lang w:eastAsia="en-GB"/>
              </w:rPr>
              <w:t>0</w:t>
            </w:r>
          </w:p>
        </w:tc>
      </w:tr>
      <w:tr w:rsidR="006A1EFD" w:rsidRPr="00C00CEA" w14:paraId="565CB33D"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60792F8D" w14:textId="261B7218" w:rsidR="006A1EFD" w:rsidRPr="005B6F24"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fruit, vegetables, cereals, edible oils, cocoa, coffee, tea and tobacco preparation and processing; conserve production; yeast and yeast extract production, molasses preparation and fermentation - sludges from washing, cleaning, peeling, centrifuging and separation</w:t>
            </w:r>
          </w:p>
        </w:tc>
        <w:tc>
          <w:tcPr>
            <w:tcW w:w="963" w:type="dxa"/>
            <w:tcBorders>
              <w:top w:val="single" w:sz="4" w:space="0" w:color="auto"/>
              <w:left w:val="single" w:sz="4" w:space="0" w:color="auto"/>
              <w:bottom w:val="single" w:sz="4" w:space="0" w:color="auto"/>
              <w:right w:val="single" w:sz="4" w:space="0" w:color="auto"/>
            </w:tcBorders>
            <w:vAlign w:val="center"/>
          </w:tcPr>
          <w:p w14:paraId="24222A89" w14:textId="05F4BDC4" w:rsidR="006A1EFD" w:rsidRPr="005B6F24" w:rsidRDefault="006A1EFD" w:rsidP="006A1EFD">
            <w:pPr>
              <w:spacing w:after="0" w:line="240" w:lineRule="auto"/>
              <w:jc w:val="center"/>
              <w:rPr>
                <w:rFonts w:ascii="Calibri" w:eastAsia="Times New Roman" w:hAnsi="Calibri" w:cs="Calibri"/>
                <w:sz w:val="20"/>
                <w:szCs w:val="16"/>
                <w:lang w:eastAsia="en-GB"/>
              </w:rPr>
            </w:pPr>
            <w:r w:rsidRPr="003C34B1">
              <w:rPr>
                <w:rFonts w:ascii="Calibri" w:eastAsia="Times New Roman" w:hAnsi="Calibri" w:cs="Calibri"/>
                <w:sz w:val="20"/>
                <w:szCs w:val="16"/>
                <w:lang w:eastAsia="en-GB"/>
              </w:rPr>
              <w:t>02 03 01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69C57" w14:textId="1920C0C7"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3,030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6895E3" w14:textId="18904B17"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B0EF6" w14:textId="729D7F0E"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3,030</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7489E9FA" w14:textId="1F2023CA"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2,362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20A43" w14:textId="2F09BED8"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0.60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FB0A2A7" w14:textId="732650DB"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1,4</w:t>
            </w:r>
            <w:r w:rsidR="003007E9">
              <w:rPr>
                <w:rFonts w:ascii="Calibri" w:eastAsia="Times New Roman" w:hAnsi="Calibri" w:cs="Calibri"/>
                <w:sz w:val="20"/>
                <w:szCs w:val="16"/>
                <w:lang w:eastAsia="en-GB"/>
              </w:rPr>
              <w:t>2</w:t>
            </w:r>
            <w:r w:rsidRPr="00C00CEA">
              <w:rPr>
                <w:rFonts w:ascii="Calibri" w:eastAsia="Times New Roman" w:hAnsi="Calibri" w:cs="Calibri"/>
                <w:sz w:val="20"/>
                <w:szCs w:val="16"/>
                <w:lang w:eastAsia="en-GB"/>
              </w:rPr>
              <w:t>7</w:t>
            </w:r>
          </w:p>
        </w:tc>
      </w:tr>
      <w:tr w:rsidR="006A1EFD" w:rsidRPr="00C00CEA" w14:paraId="311D0342"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4AF52BAF" w14:textId="56BB9D9A" w:rsidR="006A1EFD" w:rsidRPr="005B6F24"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fruit, vegetables, cereals, edible oils, cocoa, coffee, tea and tobacco preparation and processing; conserve production; yeast and yeast extract production, molasses preparation and fermentation - materials unsuitable for consumption or processing</w:t>
            </w:r>
          </w:p>
        </w:tc>
        <w:tc>
          <w:tcPr>
            <w:tcW w:w="963" w:type="dxa"/>
            <w:tcBorders>
              <w:top w:val="single" w:sz="4" w:space="0" w:color="auto"/>
              <w:left w:val="single" w:sz="4" w:space="0" w:color="auto"/>
              <w:bottom w:val="single" w:sz="4" w:space="0" w:color="auto"/>
              <w:right w:val="single" w:sz="4" w:space="0" w:color="auto"/>
            </w:tcBorders>
            <w:vAlign w:val="center"/>
          </w:tcPr>
          <w:p w14:paraId="3A99AA79" w14:textId="769A13A1" w:rsidR="006A1EFD" w:rsidRPr="005B6F24" w:rsidRDefault="006A1EFD" w:rsidP="006A1EFD">
            <w:pPr>
              <w:spacing w:after="0" w:line="240" w:lineRule="auto"/>
              <w:jc w:val="center"/>
              <w:rPr>
                <w:rFonts w:ascii="Calibri" w:eastAsia="Times New Roman" w:hAnsi="Calibri" w:cs="Calibri"/>
                <w:sz w:val="20"/>
                <w:szCs w:val="16"/>
                <w:lang w:eastAsia="en-GB"/>
              </w:rPr>
            </w:pPr>
            <w:r w:rsidRPr="002A4ACA">
              <w:rPr>
                <w:rFonts w:ascii="Calibri" w:eastAsia="Times New Roman" w:hAnsi="Calibri" w:cs="Calibri"/>
                <w:sz w:val="20"/>
                <w:szCs w:val="20"/>
                <w:lang w:eastAsia="en-GB"/>
              </w:rPr>
              <w:t>02 03 04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2DABE4" w14:textId="0FEFFCE7"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25,623</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280BB0" w14:textId="04C5F5AD"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5522E" w14:textId="396E9376"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25,623</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023E7021" w14:textId="621BF6BF"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24,493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0450E" w14:textId="65D5F844"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1.00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8460439" w14:textId="5CA244B5"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24,493</w:t>
            </w:r>
          </w:p>
        </w:tc>
      </w:tr>
      <w:tr w:rsidR="006A1EFD" w:rsidRPr="00C00CEA" w14:paraId="5CEBE6F3"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42CFB338" w14:textId="736830C5"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fruit, vegetables, cereals, edible oils, cocoa, coffee, tea and tobacco preparation and processing; conserve production; yeast and yeast extract production, molasses preparation and fermentation - wastes not otherwise specified</w:t>
            </w:r>
          </w:p>
        </w:tc>
        <w:tc>
          <w:tcPr>
            <w:tcW w:w="963" w:type="dxa"/>
            <w:tcBorders>
              <w:top w:val="single" w:sz="4" w:space="0" w:color="auto"/>
              <w:left w:val="single" w:sz="4" w:space="0" w:color="auto"/>
              <w:bottom w:val="single" w:sz="4" w:space="0" w:color="auto"/>
              <w:right w:val="single" w:sz="4" w:space="0" w:color="auto"/>
            </w:tcBorders>
            <w:vAlign w:val="center"/>
          </w:tcPr>
          <w:p w14:paraId="351B38D2" w14:textId="7F23F6E4" w:rsidR="006A1EFD" w:rsidRPr="002A4ACA" w:rsidRDefault="006A1EFD" w:rsidP="006A1EFD">
            <w:pPr>
              <w:spacing w:after="0" w:line="240" w:lineRule="auto"/>
              <w:jc w:val="center"/>
              <w:rPr>
                <w:rFonts w:ascii="Calibri" w:eastAsia="Times New Roman" w:hAnsi="Calibri" w:cs="Calibri"/>
                <w:sz w:val="20"/>
                <w:szCs w:val="20"/>
                <w:lang w:eastAsia="en-GB"/>
              </w:rPr>
            </w:pPr>
            <w:r w:rsidRPr="003C34B1">
              <w:rPr>
                <w:rFonts w:eastAsia="Times New Roman" w:cstheme="minorHAnsi"/>
                <w:sz w:val="20"/>
                <w:szCs w:val="20"/>
                <w:lang w:eastAsia="en-GB"/>
              </w:rPr>
              <w:t>02 03 99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FA315" w14:textId="21C37673"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2,513</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0051D2" w14:textId="62A3E9B9"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4F9C10" w14:textId="454A5724"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2,513</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5422E32F" w14:textId="4FFDE05C"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2,513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265F4" w14:textId="599512EB"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excluded</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4BE205A" w14:textId="4703B7FC" w:rsidR="006A1EFD" w:rsidRPr="00C00CEA" w:rsidRDefault="006A1EFD" w:rsidP="006A1EFD">
            <w:pPr>
              <w:spacing w:after="0" w:line="240" w:lineRule="auto"/>
              <w:jc w:val="center"/>
              <w:rPr>
                <w:rFonts w:ascii="Calibri" w:eastAsia="Times New Roman" w:hAnsi="Calibri" w:cs="Calibri"/>
                <w:sz w:val="20"/>
                <w:szCs w:val="20"/>
                <w:lang w:eastAsia="en-GB"/>
              </w:rPr>
            </w:pPr>
            <w:r>
              <w:rPr>
                <w:rFonts w:eastAsia="Times New Roman" w:cstheme="minorHAnsi"/>
                <w:sz w:val="20"/>
                <w:szCs w:val="20"/>
                <w:lang w:eastAsia="en-GB"/>
              </w:rPr>
              <w:t>0</w:t>
            </w:r>
          </w:p>
        </w:tc>
      </w:tr>
      <w:tr w:rsidR="006A1EFD" w:rsidRPr="00C00CEA" w14:paraId="2DAD303D"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54449C7A" w14:textId="087692CA" w:rsidR="006A1EFD" w:rsidRPr="005B6F24"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dairy products industry - materials unsuitable for consumption or processing</w:t>
            </w:r>
          </w:p>
        </w:tc>
        <w:tc>
          <w:tcPr>
            <w:tcW w:w="963" w:type="dxa"/>
            <w:tcBorders>
              <w:top w:val="single" w:sz="4" w:space="0" w:color="auto"/>
              <w:left w:val="single" w:sz="4" w:space="0" w:color="auto"/>
              <w:bottom w:val="single" w:sz="4" w:space="0" w:color="auto"/>
              <w:right w:val="single" w:sz="4" w:space="0" w:color="auto"/>
            </w:tcBorders>
            <w:vAlign w:val="center"/>
          </w:tcPr>
          <w:p w14:paraId="6733DD4B" w14:textId="1A54CCF8" w:rsidR="006A1EFD" w:rsidRPr="005B6F24" w:rsidRDefault="006A1EFD" w:rsidP="006A1EFD">
            <w:pPr>
              <w:spacing w:after="0" w:line="240" w:lineRule="auto"/>
              <w:jc w:val="center"/>
              <w:rPr>
                <w:rFonts w:ascii="Calibri" w:eastAsia="Times New Roman" w:hAnsi="Calibri" w:cs="Calibri"/>
                <w:sz w:val="20"/>
                <w:szCs w:val="16"/>
                <w:lang w:eastAsia="en-GB"/>
              </w:rPr>
            </w:pPr>
            <w:r w:rsidRPr="00F57DE8">
              <w:rPr>
                <w:rFonts w:ascii="Calibri" w:eastAsia="Times New Roman" w:hAnsi="Calibri" w:cs="Calibri"/>
                <w:sz w:val="20"/>
                <w:szCs w:val="16"/>
                <w:lang w:eastAsia="en-GB"/>
              </w:rPr>
              <w:t>02 05 01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BD7271" w14:textId="424814B2"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14,652</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DC3DFB" w14:textId="624EB8E5"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42935C" w14:textId="011806EE"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14,652</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61C0DB6" w14:textId="11CE94DB"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14,652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46B811" w14:textId="3D315879"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1.00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3D101973" w14:textId="291BE0CE" w:rsidR="006A1EFD" w:rsidRPr="005B6F24"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14,6</w:t>
            </w:r>
            <w:r>
              <w:rPr>
                <w:rFonts w:ascii="Calibri" w:eastAsia="Times New Roman" w:hAnsi="Calibri" w:cs="Calibri"/>
                <w:sz w:val="20"/>
                <w:szCs w:val="16"/>
                <w:lang w:eastAsia="en-GB"/>
              </w:rPr>
              <w:t>24</w:t>
            </w:r>
          </w:p>
        </w:tc>
      </w:tr>
      <w:tr w:rsidR="006A1EFD" w:rsidRPr="00C00CEA" w14:paraId="71D97019"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7E3FA571" w14:textId="7705AC74"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baking and confectionary industry - materials unsuitable for consumption or processing</w:t>
            </w:r>
          </w:p>
        </w:tc>
        <w:tc>
          <w:tcPr>
            <w:tcW w:w="963" w:type="dxa"/>
            <w:tcBorders>
              <w:top w:val="single" w:sz="4" w:space="0" w:color="auto"/>
              <w:left w:val="single" w:sz="4" w:space="0" w:color="auto"/>
              <w:bottom w:val="single" w:sz="4" w:space="0" w:color="auto"/>
              <w:right w:val="single" w:sz="4" w:space="0" w:color="auto"/>
            </w:tcBorders>
            <w:vAlign w:val="center"/>
          </w:tcPr>
          <w:p w14:paraId="6ABACDE5" w14:textId="2FB5D25B" w:rsidR="006A1EFD" w:rsidRPr="002A4ACA" w:rsidRDefault="006A1EFD" w:rsidP="006A1EFD">
            <w:pPr>
              <w:spacing w:after="0" w:line="240" w:lineRule="auto"/>
              <w:jc w:val="center"/>
              <w:rPr>
                <w:rFonts w:ascii="Calibri" w:eastAsia="Times New Roman" w:hAnsi="Calibri" w:cs="Calibri"/>
                <w:sz w:val="20"/>
                <w:szCs w:val="20"/>
                <w:lang w:eastAsia="en-GB"/>
              </w:rPr>
            </w:pPr>
            <w:r w:rsidRPr="003C34B1">
              <w:rPr>
                <w:rFonts w:ascii="Calibri" w:eastAsia="Times New Roman" w:hAnsi="Calibri" w:cs="Calibri"/>
                <w:sz w:val="20"/>
                <w:szCs w:val="16"/>
                <w:lang w:eastAsia="en-GB"/>
              </w:rPr>
              <w:t>02 06 01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9AF1F" w14:textId="6D53BC68"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3,410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00571" w14:textId="406FC955"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D76FA" w14:textId="1B8B9CEB"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3,410</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26A0DC4" w14:textId="560FB172"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2,663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9EF3D8" w14:textId="33174698"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16"/>
                <w:lang w:eastAsia="en-GB"/>
              </w:rPr>
              <w:t>1.00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1FD6A08" w14:textId="1EFC0971" w:rsidR="006A1EFD"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2,</w:t>
            </w:r>
            <w:r>
              <w:rPr>
                <w:rFonts w:ascii="Calibri" w:eastAsia="Times New Roman" w:hAnsi="Calibri" w:cs="Calibri"/>
                <w:sz w:val="20"/>
                <w:szCs w:val="16"/>
                <w:lang w:eastAsia="en-GB"/>
              </w:rPr>
              <w:t>240</w:t>
            </w:r>
          </w:p>
        </w:tc>
      </w:tr>
      <w:tr w:rsidR="006A1EFD" w:rsidRPr="00C00CEA" w14:paraId="16E369D9"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5819F448" w14:textId="18E8967B" w:rsidR="006A1EFD" w:rsidRPr="003C34B1" w:rsidRDefault="006A1EFD" w:rsidP="006A1EFD">
            <w:pPr>
              <w:spacing w:after="0" w:line="240" w:lineRule="auto"/>
              <w:jc w:val="left"/>
              <w:rPr>
                <w:rFonts w:ascii="Calibri" w:eastAsia="Times New Roman" w:hAnsi="Calibri" w:cs="Calibri"/>
                <w:sz w:val="20"/>
                <w:szCs w:val="20"/>
                <w:lang w:eastAsia="en-GB"/>
              </w:rPr>
            </w:pPr>
            <w:r w:rsidRPr="005B6F24">
              <w:rPr>
                <w:rFonts w:ascii="Calibri" w:eastAsia="Times New Roman" w:hAnsi="Calibri" w:cs="Calibri"/>
                <w:sz w:val="20"/>
                <w:szCs w:val="20"/>
                <w:lang w:eastAsia="en-GB"/>
              </w:rPr>
              <w:t>wastes from the baking and confectionery industry - sludges from on-site effluent treatment</w:t>
            </w:r>
          </w:p>
        </w:tc>
        <w:tc>
          <w:tcPr>
            <w:tcW w:w="963" w:type="dxa"/>
            <w:tcBorders>
              <w:top w:val="single" w:sz="4" w:space="0" w:color="auto"/>
              <w:left w:val="single" w:sz="4" w:space="0" w:color="auto"/>
              <w:bottom w:val="single" w:sz="4" w:space="0" w:color="auto"/>
              <w:right w:val="single" w:sz="4" w:space="0" w:color="auto"/>
            </w:tcBorders>
            <w:vAlign w:val="center"/>
          </w:tcPr>
          <w:p w14:paraId="76BD485E" w14:textId="2DE1AB1A" w:rsidR="006A1EFD" w:rsidRPr="003C34B1" w:rsidRDefault="006A1EFD" w:rsidP="006A1EFD">
            <w:pPr>
              <w:spacing w:after="0" w:line="240" w:lineRule="auto"/>
              <w:jc w:val="center"/>
              <w:rPr>
                <w:rFonts w:ascii="Calibri" w:eastAsia="Times New Roman" w:hAnsi="Calibri" w:cs="Calibri"/>
                <w:sz w:val="20"/>
                <w:szCs w:val="16"/>
                <w:lang w:eastAsia="en-GB"/>
              </w:rPr>
            </w:pPr>
            <w:r w:rsidRPr="005B6F24">
              <w:rPr>
                <w:rFonts w:eastAsia="Times New Roman" w:cstheme="minorHAnsi"/>
                <w:sz w:val="20"/>
                <w:szCs w:val="20"/>
                <w:lang w:eastAsia="en-GB"/>
              </w:rPr>
              <w:t>02 06 03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E32A9" w14:textId="456DC3AF" w:rsidR="006A1EFD" w:rsidRPr="00C00CEA" w:rsidRDefault="006A1EFD" w:rsidP="006A1EFD">
            <w:pPr>
              <w:spacing w:after="0" w:line="240" w:lineRule="auto"/>
              <w:jc w:val="center"/>
              <w:rPr>
                <w:rFonts w:ascii="Calibri" w:eastAsia="Times New Roman" w:hAnsi="Calibri" w:cs="Calibri"/>
                <w:sz w:val="20"/>
                <w:szCs w:val="16"/>
                <w:lang w:eastAsia="en-GB"/>
              </w:rPr>
            </w:pPr>
            <w:r w:rsidRPr="005B6F24">
              <w:rPr>
                <w:rFonts w:eastAsia="Times New Roman" w:cstheme="minorHAnsi"/>
                <w:sz w:val="20"/>
                <w:szCs w:val="20"/>
                <w:lang w:eastAsia="en-GB"/>
              </w:rPr>
              <w:t>816</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3A689E" w14:textId="1EF8F61B" w:rsidR="006A1EFD" w:rsidRPr="00C00CEA" w:rsidRDefault="006A1EFD" w:rsidP="006A1EFD">
            <w:pPr>
              <w:spacing w:after="0" w:line="240" w:lineRule="auto"/>
              <w:jc w:val="center"/>
              <w:rPr>
                <w:rFonts w:ascii="Calibri" w:eastAsia="Times New Roman" w:hAnsi="Calibri" w:cs="Calibri"/>
                <w:sz w:val="20"/>
                <w:szCs w:val="16"/>
                <w:lang w:eastAsia="en-GB"/>
              </w:rPr>
            </w:pPr>
            <w:r w:rsidRPr="005B6F24">
              <w:rPr>
                <w:rFonts w:eastAsia="Times New Roman" w:cstheme="minorHAns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C4C77" w14:textId="50062201" w:rsidR="006A1EFD" w:rsidRPr="00C00CEA" w:rsidRDefault="006A1EFD" w:rsidP="006A1EFD">
            <w:pPr>
              <w:spacing w:after="0" w:line="240" w:lineRule="auto"/>
              <w:jc w:val="center"/>
              <w:rPr>
                <w:rFonts w:ascii="Calibri" w:eastAsia="Times New Roman" w:hAnsi="Calibri" w:cs="Calibri"/>
                <w:sz w:val="20"/>
                <w:szCs w:val="16"/>
                <w:lang w:eastAsia="en-GB"/>
              </w:rPr>
            </w:pPr>
            <w:r w:rsidRPr="005B6F24">
              <w:rPr>
                <w:rFonts w:eastAsia="Times New Roman" w:cstheme="minorHAnsi"/>
                <w:sz w:val="20"/>
                <w:szCs w:val="20"/>
                <w:lang w:eastAsia="en-GB"/>
              </w:rPr>
              <w:t>816</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F9E4D9E" w14:textId="1653630C" w:rsidR="006A1EFD" w:rsidRPr="00C00CEA" w:rsidRDefault="006A1EFD" w:rsidP="006A1EFD">
            <w:pPr>
              <w:spacing w:after="0" w:line="240" w:lineRule="auto"/>
              <w:jc w:val="center"/>
              <w:rPr>
                <w:rFonts w:ascii="Calibri" w:eastAsia="Times New Roman" w:hAnsi="Calibri" w:cs="Calibri"/>
                <w:sz w:val="20"/>
                <w:szCs w:val="16"/>
                <w:lang w:eastAsia="en-GB"/>
              </w:rPr>
            </w:pPr>
            <w:r w:rsidRPr="005B6F24">
              <w:rPr>
                <w:rFonts w:eastAsia="Times New Roman" w:cstheme="minorHAnsi"/>
                <w:sz w:val="20"/>
                <w:szCs w:val="20"/>
                <w:lang w:eastAsia="en-GB"/>
              </w:rPr>
              <w:t>798</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47ED0" w14:textId="180B7F4E" w:rsidR="006A1EFD" w:rsidRPr="00C00CEA" w:rsidRDefault="006A1EFD" w:rsidP="006A1EFD">
            <w:pPr>
              <w:spacing w:after="0" w:line="240" w:lineRule="auto"/>
              <w:jc w:val="center"/>
              <w:rPr>
                <w:rFonts w:ascii="Calibri" w:eastAsia="Times New Roman" w:hAnsi="Calibri" w:cs="Calibri"/>
                <w:sz w:val="20"/>
                <w:szCs w:val="16"/>
                <w:lang w:eastAsia="en-GB"/>
              </w:rPr>
            </w:pPr>
            <w:r w:rsidRPr="005B6F24">
              <w:rPr>
                <w:rFonts w:eastAsia="Times New Roman" w:cstheme="minorHAnsi"/>
                <w:sz w:val="20"/>
                <w:szCs w:val="20"/>
                <w:lang w:eastAsia="en-GB"/>
              </w:rPr>
              <w:t>0.10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1851D84B" w14:textId="0C1F92CE" w:rsidR="006A1EFD" w:rsidRPr="00C00CEA" w:rsidRDefault="006A1EFD" w:rsidP="006A1EFD">
            <w:pPr>
              <w:spacing w:after="0" w:line="240" w:lineRule="auto"/>
              <w:jc w:val="center"/>
              <w:rPr>
                <w:rFonts w:ascii="Calibri" w:eastAsia="Times New Roman" w:hAnsi="Calibri" w:cs="Calibri"/>
                <w:sz w:val="20"/>
                <w:szCs w:val="16"/>
                <w:lang w:eastAsia="en-GB"/>
              </w:rPr>
            </w:pPr>
            <w:r>
              <w:rPr>
                <w:rFonts w:eastAsia="Times New Roman" w:cstheme="minorHAnsi"/>
                <w:sz w:val="20"/>
                <w:szCs w:val="20"/>
                <w:lang w:eastAsia="en-GB"/>
              </w:rPr>
              <w:t>80</w:t>
            </w:r>
          </w:p>
        </w:tc>
      </w:tr>
      <w:tr w:rsidR="006A1EFD" w:rsidRPr="00C00CEA" w14:paraId="380BF569"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287D043C" w14:textId="3F7E9FA3"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production of alcoholic and non-alcoholic beverages (except coffee, tea and cocoa) - wastes from washing, cleaning and mechanical reduction of raw materials</w:t>
            </w:r>
          </w:p>
        </w:tc>
        <w:tc>
          <w:tcPr>
            <w:tcW w:w="963" w:type="dxa"/>
            <w:tcBorders>
              <w:top w:val="single" w:sz="4" w:space="0" w:color="auto"/>
              <w:left w:val="single" w:sz="4" w:space="0" w:color="auto"/>
              <w:bottom w:val="single" w:sz="4" w:space="0" w:color="auto"/>
              <w:right w:val="single" w:sz="4" w:space="0" w:color="auto"/>
            </w:tcBorders>
            <w:vAlign w:val="center"/>
          </w:tcPr>
          <w:p w14:paraId="5F183861" w14:textId="77BF12D1" w:rsidR="006A1EFD" w:rsidRPr="003C34B1" w:rsidRDefault="006A1EFD" w:rsidP="006A1EFD">
            <w:pPr>
              <w:spacing w:after="0" w:line="240" w:lineRule="auto"/>
              <w:jc w:val="center"/>
              <w:rPr>
                <w:rFonts w:ascii="Calibri" w:eastAsia="Times New Roman" w:hAnsi="Calibri" w:cs="Calibri"/>
                <w:sz w:val="20"/>
                <w:szCs w:val="16"/>
                <w:lang w:eastAsia="en-GB"/>
              </w:rPr>
            </w:pPr>
            <w:r w:rsidRPr="003C34B1">
              <w:rPr>
                <w:rFonts w:eastAsia="Times New Roman" w:cstheme="minorHAnsi"/>
                <w:sz w:val="20"/>
                <w:szCs w:val="20"/>
                <w:lang w:eastAsia="en-GB"/>
              </w:rPr>
              <w:t>02 07 01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7BF20" w14:textId="7841DDA0"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eastAsia="Times New Roman" w:cstheme="minorHAnsi"/>
                <w:sz w:val="20"/>
                <w:szCs w:val="20"/>
                <w:lang w:eastAsia="en-GB"/>
              </w:rPr>
              <w:t>1,061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BF8F4" w14:textId="11E02D27"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eastAsia="Times New Roman" w:cstheme="minorHAns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A89AC" w14:textId="6030E58B"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eastAsia="Times New Roman" w:cstheme="minorHAnsi"/>
                <w:sz w:val="20"/>
                <w:szCs w:val="20"/>
                <w:lang w:eastAsia="en-GB"/>
              </w:rPr>
              <w:t>1,061</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70006DF0" w14:textId="4EE2DE10"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eastAsia="Times New Roman" w:cstheme="minorHAnsi"/>
                <w:sz w:val="20"/>
                <w:szCs w:val="20"/>
                <w:lang w:eastAsia="en-GB"/>
              </w:rPr>
              <w:t>404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8683F3" w14:textId="706DDA1C"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eastAsia="Times New Roman" w:cstheme="minorHAnsi"/>
                <w:sz w:val="20"/>
                <w:szCs w:val="20"/>
                <w:lang w:eastAsia="en-GB"/>
              </w:rPr>
              <w:t>0.40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280F38B" w14:textId="41555D42"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eastAsia="Times New Roman" w:cstheme="minorHAnsi"/>
                <w:sz w:val="20"/>
                <w:szCs w:val="20"/>
                <w:lang w:eastAsia="en-GB"/>
              </w:rPr>
              <w:t>162</w:t>
            </w:r>
          </w:p>
        </w:tc>
      </w:tr>
      <w:tr w:rsidR="006A1EFD" w:rsidRPr="00C00CEA" w14:paraId="141C758F"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7AADFC24" w14:textId="33AAB8FB"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lastRenderedPageBreak/>
              <w:t>wastes from the production of alcoholic and non-alcoholic beverages (except coffee, tea and cocoa) - wastes from spirits distillation</w:t>
            </w:r>
          </w:p>
        </w:tc>
        <w:tc>
          <w:tcPr>
            <w:tcW w:w="963" w:type="dxa"/>
            <w:tcBorders>
              <w:top w:val="single" w:sz="4" w:space="0" w:color="auto"/>
              <w:left w:val="single" w:sz="4" w:space="0" w:color="auto"/>
              <w:bottom w:val="single" w:sz="4" w:space="0" w:color="auto"/>
              <w:right w:val="single" w:sz="4" w:space="0" w:color="auto"/>
            </w:tcBorders>
            <w:vAlign w:val="center"/>
          </w:tcPr>
          <w:p w14:paraId="7FAEE61D" w14:textId="37874090" w:rsidR="006A1EFD" w:rsidRPr="003C34B1" w:rsidRDefault="006A1EFD" w:rsidP="006A1EFD">
            <w:pPr>
              <w:spacing w:after="0" w:line="240" w:lineRule="auto"/>
              <w:jc w:val="center"/>
              <w:rPr>
                <w:rFonts w:ascii="Calibri" w:eastAsia="Times New Roman" w:hAnsi="Calibri" w:cs="Calibri"/>
                <w:sz w:val="20"/>
                <w:szCs w:val="16"/>
                <w:lang w:eastAsia="en-GB"/>
              </w:rPr>
            </w:pPr>
            <w:r w:rsidRPr="002A4ACA">
              <w:rPr>
                <w:rFonts w:ascii="Calibri" w:eastAsia="Times New Roman" w:hAnsi="Calibri" w:cs="Calibri"/>
                <w:sz w:val="20"/>
                <w:szCs w:val="20"/>
                <w:lang w:eastAsia="en-GB"/>
              </w:rPr>
              <w:t>02 07 02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EDC3F" w14:textId="5AC4A3CF"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215,597</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44482" w14:textId="44CD31B0"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53786" w14:textId="0EF7FF96"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215,597</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677FD2BD" w14:textId="5B14DE61"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215,400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48C4E" w14:textId="4AA4149E"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0.40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8475889" w14:textId="13B7C206" w:rsidR="006A1EFD" w:rsidRPr="00C00CEA" w:rsidRDefault="006A1EFD" w:rsidP="006A1EFD">
            <w:pPr>
              <w:spacing w:after="0" w:line="240" w:lineRule="auto"/>
              <w:jc w:val="center"/>
              <w:rPr>
                <w:rFonts w:ascii="Calibri" w:eastAsia="Times New Roman" w:hAnsi="Calibri" w:cs="Calibri"/>
                <w:sz w:val="20"/>
                <w:szCs w:val="16"/>
                <w:lang w:eastAsia="en-GB"/>
              </w:rPr>
            </w:pPr>
            <w:r w:rsidRPr="00C00CEA">
              <w:rPr>
                <w:rFonts w:ascii="Calibri" w:eastAsia="Times New Roman" w:hAnsi="Calibri" w:cs="Calibri"/>
                <w:sz w:val="20"/>
                <w:szCs w:val="20"/>
                <w:lang w:eastAsia="en-GB"/>
              </w:rPr>
              <w:t>86,1</w:t>
            </w:r>
            <w:r>
              <w:rPr>
                <w:rFonts w:ascii="Calibri" w:eastAsia="Times New Roman" w:hAnsi="Calibri" w:cs="Calibri"/>
                <w:sz w:val="20"/>
                <w:szCs w:val="20"/>
                <w:lang w:eastAsia="en-GB"/>
              </w:rPr>
              <w:t>20</w:t>
            </w:r>
          </w:p>
        </w:tc>
      </w:tr>
      <w:tr w:rsidR="006A1EFD" w:rsidRPr="00C00CEA" w14:paraId="358BE369"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4FDC3EA4" w14:textId="3FE2689E"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production of alcoholic and non-alcoholic beverages (except coffee, tea and cocoa) - materials unsuitable for consumption or processing</w:t>
            </w:r>
          </w:p>
        </w:tc>
        <w:tc>
          <w:tcPr>
            <w:tcW w:w="963" w:type="dxa"/>
            <w:tcBorders>
              <w:top w:val="single" w:sz="4" w:space="0" w:color="auto"/>
              <w:left w:val="single" w:sz="4" w:space="0" w:color="auto"/>
              <w:bottom w:val="single" w:sz="4" w:space="0" w:color="auto"/>
              <w:right w:val="single" w:sz="4" w:space="0" w:color="auto"/>
            </w:tcBorders>
            <w:vAlign w:val="center"/>
          </w:tcPr>
          <w:p w14:paraId="4F5BEB66" w14:textId="6BD448DE" w:rsidR="006A1EFD" w:rsidRPr="002A4ACA" w:rsidRDefault="006A1EFD" w:rsidP="006A1EFD">
            <w:pPr>
              <w:spacing w:after="0" w:line="240" w:lineRule="auto"/>
              <w:jc w:val="center"/>
              <w:rPr>
                <w:rFonts w:ascii="Calibri" w:eastAsia="Times New Roman" w:hAnsi="Calibri" w:cs="Calibri"/>
                <w:sz w:val="20"/>
                <w:szCs w:val="20"/>
                <w:lang w:eastAsia="en-GB"/>
              </w:rPr>
            </w:pPr>
            <w:r w:rsidRPr="002A4ACA">
              <w:rPr>
                <w:rFonts w:ascii="Calibri" w:eastAsia="Times New Roman" w:hAnsi="Calibri" w:cs="Calibri"/>
                <w:sz w:val="20"/>
                <w:szCs w:val="20"/>
                <w:lang w:eastAsia="en-GB"/>
              </w:rPr>
              <w:t>02 07 04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28F62" w14:textId="49FC53D3"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131,931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236896" w14:textId="7028A422"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700EFE" w14:textId="622DAE6D"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131,931</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4EFC1192" w14:textId="0D897207"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131,776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3AEC13" w14:textId="6CE835A1"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0.40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A7F6D2A" w14:textId="235E5F72"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52,711</w:t>
            </w:r>
          </w:p>
        </w:tc>
      </w:tr>
      <w:tr w:rsidR="006A1EFD" w:rsidRPr="00C00CEA" w14:paraId="426B4CD5"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4AE62DAD" w14:textId="3FDA2248"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production of alcoholic and non-alcoholic beverages (except coffee, tea and cocoa) - sludges from on-site effluent treatment</w:t>
            </w:r>
          </w:p>
        </w:tc>
        <w:tc>
          <w:tcPr>
            <w:tcW w:w="963" w:type="dxa"/>
            <w:tcBorders>
              <w:top w:val="single" w:sz="4" w:space="0" w:color="auto"/>
              <w:left w:val="single" w:sz="4" w:space="0" w:color="auto"/>
              <w:bottom w:val="single" w:sz="4" w:space="0" w:color="auto"/>
              <w:right w:val="single" w:sz="4" w:space="0" w:color="auto"/>
            </w:tcBorders>
            <w:vAlign w:val="center"/>
          </w:tcPr>
          <w:p w14:paraId="7B733317" w14:textId="2E61F442" w:rsidR="006A1EFD" w:rsidRPr="002A4ACA" w:rsidRDefault="006A1EFD" w:rsidP="006A1EFD">
            <w:pPr>
              <w:spacing w:after="0" w:line="240" w:lineRule="auto"/>
              <w:jc w:val="center"/>
              <w:rPr>
                <w:rFonts w:ascii="Calibri" w:eastAsia="Times New Roman" w:hAnsi="Calibri" w:cs="Calibri"/>
                <w:sz w:val="20"/>
                <w:szCs w:val="20"/>
                <w:lang w:eastAsia="en-GB"/>
              </w:rPr>
            </w:pPr>
            <w:r w:rsidRPr="003C34B1">
              <w:rPr>
                <w:rFonts w:eastAsia="Times New Roman" w:cstheme="minorHAnsi"/>
                <w:sz w:val="20"/>
                <w:szCs w:val="20"/>
                <w:lang w:eastAsia="en-GB"/>
              </w:rPr>
              <w:t>02 07 05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7BF31E" w14:textId="7EE4421E"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150</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A7FD1" w14:textId="15C9774E"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765E6C" w14:textId="6CF2AF4B"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150</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C114BD9" w14:textId="353BC6C9"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93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78BEA" w14:textId="5145CE48"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0.40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6DF5FCF" w14:textId="7E078202"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37</w:t>
            </w:r>
          </w:p>
        </w:tc>
      </w:tr>
      <w:tr w:rsidR="006A1EFD" w:rsidRPr="00C00CEA" w14:paraId="6097622D"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5936FFF5" w14:textId="4FE25E0C"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wastes from the production of alcoholic and non-alcoholic beverages (except coffee, tea and cocoa) - wastes not otherwise specified</w:t>
            </w:r>
          </w:p>
        </w:tc>
        <w:tc>
          <w:tcPr>
            <w:tcW w:w="963" w:type="dxa"/>
            <w:tcBorders>
              <w:top w:val="single" w:sz="4" w:space="0" w:color="auto"/>
              <w:left w:val="single" w:sz="4" w:space="0" w:color="auto"/>
              <w:bottom w:val="single" w:sz="4" w:space="0" w:color="auto"/>
              <w:right w:val="single" w:sz="4" w:space="0" w:color="auto"/>
            </w:tcBorders>
            <w:vAlign w:val="center"/>
          </w:tcPr>
          <w:p w14:paraId="2E063B56" w14:textId="3A3EC5AE" w:rsidR="006A1EFD" w:rsidRPr="003C34B1" w:rsidRDefault="006A1EFD" w:rsidP="006A1EFD">
            <w:pPr>
              <w:spacing w:after="0" w:line="240" w:lineRule="auto"/>
              <w:jc w:val="center"/>
              <w:rPr>
                <w:rFonts w:eastAsia="Times New Roman" w:cstheme="minorHAnsi"/>
                <w:sz w:val="20"/>
                <w:szCs w:val="20"/>
                <w:lang w:eastAsia="en-GB"/>
              </w:rPr>
            </w:pPr>
            <w:r w:rsidRPr="00F57DE8">
              <w:rPr>
                <w:rFonts w:ascii="Calibri" w:eastAsia="Times New Roman" w:hAnsi="Calibri" w:cs="Calibri"/>
                <w:sz w:val="20"/>
                <w:szCs w:val="16"/>
                <w:lang w:eastAsia="en-GB"/>
              </w:rPr>
              <w:t>02 07 99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1F2A35" w14:textId="15327D74"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16"/>
                <w:lang w:eastAsia="en-GB"/>
              </w:rPr>
              <w:t>15,863</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3168A" w14:textId="4D038B6E"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16"/>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5319" w14:textId="1C08CEF5"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16"/>
                <w:lang w:eastAsia="en-GB"/>
              </w:rPr>
              <w:t>15,863</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7014AAF0" w14:textId="18F8583C"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16"/>
                <w:lang w:eastAsia="en-GB"/>
              </w:rPr>
              <w:t>15,833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EB69E" w14:textId="0A5DB75D"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16"/>
                <w:lang w:eastAsia="en-GB"/>
              </w:rPr>
              <w:t>excluded</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57E0A7EF" w14:textId="48501BCA" w:rsidR="006A1EFD" w:rsidRPr="00C00CEA" w:rsidRDefault="006A1EFD" w:rsidP="006A1EFD">
            <w:pPr>
              <w:spacing w:after="0" w:line="240" w:lineRule="auto"/>
              <w:jc w:val="center"/>
              <w:rPr>
                <w:rFonts w:eastAsia="Times New Roman" w:cstheme="minorHAnsi"/>
                <w:sz w:val="20"/>
                <w:szCs w:val="20"/>
                <w:lang w:eastAsia="en-GB"/>
              </w:rPr>
            </w:pPr>
            <w:r>
              <w:rPr>
                <w:rFonts w:ascii="Calibri" w:eastAsia="Times New Roman" w:hAnsi="Calibri" w:cs="Calibri"/>
                <w:sz w:val="20"/>
                <w:szCs w:val="16"/>
                <w:lang w:eastAsia="en-GB"/>
              </w:rPr>
              <w:t>0</w:t>
            </w:r>
          </w:p>
        </w:tc>
      </w:tr>
      <w:tr w:rsidR="006A1EFD" w:rsidRPr="00C00CEA" w14:paraId="5D7C67B0"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16024299" w14:textId="1A5CCEC8"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Municipal wastes (Household waste and similar commercial, industrial and institutional wastes separately collected fractions - biodegradable kitchen and canteen waste</w:t>
            </w:r>
          </w:p>
        </w:tc>
        <w:tc>
          <w:tcPr>
            <w:tcW w:w="963" w:type="dxa"/>
            <w:tcBorders>
              <w:top w:val="single" w:sz="4" w:space="0" w:color="auto"/>
              <w:left w:val="single" w:sz="4" w:space="0" w:color="auto"/>
              <w:bottom w:val="single" w:sz="4" w:space="0" w:color="auto"/>
              <w:right w:val="single" w:sz="4" w:space="0" w:color="auto"/>
            </w:tcBorders>
            <w:vAlign w:val="center"/>
          </w:tcPr>
          <w:p w14:paraId="6FC1B2A8" w14:textId="7575978F" w:rsidR="006A1EFD" w:rsidRPr="003C34B1" w:rsidRDefault="006A1EFD" w:rsidP="006A1EFD">
            <w:pPr>
              <w:spacing w:after="0" w:line="240" w:lineRule="auto"/>
              <w:jc w:val="center"/>
              <w:rPr>
                <w:rFonts w:eastAsia="Times New Roman" w:cstheme="minorHAnsi"/>
                <w:sz w:val="20"/>
                <w:szCs w:val="20"/>
                <w:lang w:eastAsia="en-GB"/>
              </w:rPr>
            </w:pPr>
            <w:r w:rsidRPr="002A4ACA">
              <w:rPr>
                <w:rFonts w:ascii="Calibri" w:eastAsia="Times New Roman" w:hAnsi="Calibri" w:cs="Calibri"/>
                <w:sz w:val="20"/>
                <w:szCs w:val="20"/>
                <w:lang w:eastAsia="en-GB"/>
              </w:rPr>
              <w:t>20 01 08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FD761" w14:textId="3B443F09"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20"/>
                <w:lang w:eastAsia="en-GB"/>
              </w:rPr>
              <w:t>55,409</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6AA49" w14:textId="4433204D"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5F8AB6" w14:textId="786AF041"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20"/>
                <w:lang w:eastAsia="en-GB"/>
              </w:rPr>
              <w:t>55,409</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2A5939F1" w14:textId="398FD5FD"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20"/>
                <w:lang w:eastAsia="en-GB"/>
              </w:rPr>
              <w:t>28,420</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09384" w14:textId="5E1125CC" w:rsidR="006A1EFD" w:rsidRPr="00C00CEA" w:rsidRDefault="006A1EFD" w:rsidP="006A1EFD">
            <w:pPr>
              <w:spacing w:after="0" w:line="240" w:lineRule="auto"/>
              <w:jc w:val="center"/>
              <w:rPr>
                <w:rFonts w:eastAsia="Times New Roman" w:cstheme="minorHAnsi"/>
                <w:sz w:val="20"/>
                <w:szCs w:val="20"/>
                <w:lang w:eastAsia="en-GB"/>
              </w:rPr>
            </w:pPr>
            <w:r w:rsidRPr="00C00CEA">
              <w:rPr>
                <w:rFonts w:ascii="Calibri" w:eastAsia="Times New Roman" w:hAnsi="Calibri" w:cs="Calibri"/>
                <w:sz w:val="20"/>
                <w:szCs w:val="20"/>
                <w:lang w:eastAsia="en-GB"/>
              </w:rPr>
              <w:t>1.00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62F7F4EF" w14:textId="52E3E99C" w:rsidR="006A1EFD" w:rsidRPr="00C00CEA" w:rsidRDefault="006A1EFD" w:rsidP="006A1EFD">
            <w:pPr>
              <w:spacing w:after="0" w:line="240" w:lineRule="auto"/>
              <w:jc w:val="center"/>
              <w:rPr>
                <w:rFonts w:eastAsia="Times New Roman" w:cstheme="minorHAnsi"/>
                <w:sz w:val="20"/>
                <w:szCs w:val="20"/>
                <w:lang w:eastAsia="en-GB"/>
              </w:rPr>
            </w:pPr>
            <w:r>
              <w:rPr>
                <w:rFonts w:ascii="Calibri" w:eastAsia="Times New Roman" w:hAnsi="Calibri" w:cs="Calibri"/>
                <w:sz w:val="20"/>
                <w:szCs w:val="20"/>
                <w:lang w:eastAsia="en-GB"/>
              </w:rPr>
              <w:t>33,419</w:t>
            </w:r>
          </w:p>
        </w:tc>
      </w:tr>
      <w:tr w:rsidR="006A1EFD" w:rsidRPr="00C00CEA" w14:paraId="4767264A" w14:textId="77777777" w:rsidTr="006A1EFD">
        <w:trPr>
          <w:trHeight w:val="45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14026F65" w14:textId="7F1BDD64"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Municipal wastes (Household waste and similar commercial, industrial and institutional wastes separately collected fractions - edible oil and fat</w:t>
            </w:r>
          </w:p>
        </w:tc>
        <w:tc>
          <w:tcPr>
            <w:tcW w:w="963" w:type="dxa"/>
            <w:tcBorders>
              <w:top w:val="single" w:sz="4" w:space="0" w:color="auto"/>
              <w:left w:val="single" w:sz="4" w:space="0" w:color="auto"/>
              <w:bottom w:val="single" w:sz="4" w:space="0" w:color="auto"/>
              <w:right w:val="single" w:sz="4" w:space="0" w:color="auto"/>
            </w:tcBorders>
            <w:vAlign w:val="center"/>
          </w:tcPr>
          <w:p w14:paraId="7B2612CF" w14:textId="6B093711" w:rsidR="006A1EFD" w:rsidRPr="00C00CEA" w:rsidRDefault="006A1EFD" w:rsidP="006A1EFD">
            <w:pPr>
              <w:spacing w:after="0" w:line="240" w:lineRule="auto"/>
              <w:jc w:val="center"/>
              <w:rPr>
                <w:rFonts w:ascii="Calibri" w:eastAsia="Times New Roman" w:hAnsi="Calibri" w:cs="Calibri"/>
                <w:sz w:val="20"/>
                <w:szCs w:val="20"/>
                <w:lang w:eastAsia="en-GB"/>
              </w:rPr>
            </w:pPr>
            <w:r w:rsidRPr="003C34B1">
              <w:rPr>
                <w:rFonts w:eastAsia="Times New Roman" w:cstheme="minorHAnsi"/>
                <w:sz w:val="20"/>
                <w:szCs w:val="20"/>
                <w:lang w:eastAsia="en-GB"/>
              </w:rPr>
              <w:t>20 01 25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AAA7EE" w14:textId="5B927D30"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568</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9239C" w14:textId="1DD97793"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1.00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D802D3" w14:textId="3ACD13C6"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568</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3EF1028A" w14:textId="687C76CF"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eastAsia="Times New Roman" w:cstheme="minorHAnsi"/>
                <w:sz w:val="20"/>
                <w:szCs w:val="20"/>
                <w:lang w:eastAsia="en-GB"/>
              </w:rPr>
              <w:t>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FB3037" w14:textId="09E6C1EA"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excluded</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45757DC7" w14:textId="74A9D1E5" w:rsidR="006A1EFD" w:rsidRPr="00C00CEA" w:rsidRDefault="006A1EFD" w:rsidP="006A1EFD">
            <w:pPr>
              <w:spacing w:after="0" w:line="240" w:lineRule="auto"/>
              <w:jc w:val="center"/>
              <w:rPr>
                <w:rFonts w:ascii="Calibri" w:eastAsia="Times New Roman" w:hAnsi="Calibri" w:cs="Calibri"/>
                <w:sz w:val="20"/>
                <w:szCs w:val="20"/>
                <w:lang w:eastAsia="en-GB"/>
              </w:rPr>
            </w:pPr>
            <w:r>
              <w:rPr>
                <w:rFonts w:eastAsia="Times New Roman" w:cstheme="minorHAnsi"/>
                <w:sz w:val="20"/>
                <w:szCs w:val="20"/>
                <w:lang w:eastAsia="en-GB"/>
              </w:rPr>
              <w:t>0</w:t>
            </w:r>
          </w:p>
        </w:tc>
      </w:tr>
      <w:tr w:rsidR="006A1EFD" w:rsidRPr="00C00CEA" w14:paraId="63B8F3A8" w14:textId="77777777" w:rsidTr="006A1EFD">
        <w:trPr>
          <w:trHeight w:val="403"/>
        </w:trPr>
        <w:tc>
          <w:tcPr>
            <w:tcW w:w="4270" w:type="dxa"/>
            <w:tcBorders>
              <w:top w:val="single" w:sz="4" w:space="0" w:color="auto"/>
              <w:left w:val="single" w:sz="4" w:space="0" w:color="auto"/>
              <w:bottom w:val="single" w:sz="4" w:space="0" w:color="auto"/>
              <w:right w:val="single" w:sz="4" w:space="0" w:color="auto"/>
            </w:tcBorders>
            <w:shd w:val="clear" w:color="auto" w:fill="auto"/>
          </w:tcPr>
          <w:p w14:paraId="5B34CD68" w14:textId="15B426C3" w:rsidR="006A1EFD" w:rsidRPr="003C34B1" w:rsidRDefault="006A1EFD" w:rsidP="006A1EFD">
            <w:pPr>
              <w:spacing w:after="0" w:line="240" w:lineRule="auto"/>
              <w:jc w:val="left"/>
              <w:rPr>
                <w:rFonts w:ascii="Calibri" w:eastAsia="Times New Roman" w:hAnsi="Calibri" w:cs="Calibri"/>
                <w:sz w:val="20"/>
                <w:szCs w:val="20"/>
                <w:lang w:eastAsia="en-GB"/>
              </w:rPr>
            </w:pPr>
            <w:r w:rsidRPr="003C34B1">
              <w:rPr>
                <w:rFonts w:ascii="Calibri" w:eastAsia="Times New Roman" w:hAnsi="Calibri" w:cs="Calibri"/>
                <w:sz w:val="20"/>
                <w:szCs w:val="20"/>
                <w:lang w:eastAsia="en-GB"/>
              </w:rPr>
              <w:t>Other municipal wastes - mixed municipal waste</w:t>
            </w:r>
          </w:p>
        </w:tc>
        <w:tc>
          <w:tcPr>
            <w:tcW w:w="963" w:type="dxa"/>
            <w:tcBorders>
              <w:top w:val="single" w:sz="4" w:space="0" w:color="auto"/>
              <w:left w:val="single" w:sz="4" w:space="0" w:color="auto"/>
              <w:bottom w:val="single" w:sz="4" w:space="0" w:color="auto"/>
              <w:right w:val="single" w:sz="4" w:space="0" w:color="auto"/>
            </w:tcBorders>
            <w:vAlign w:val="center"/>
          </w:tcPr>
          <w:p w14:paraId="3C6C6B0C" w14:textId="3B3FB705" w:rsidR="006A1EFD" w:rsidRPr="00C00CEA" w:rsidRDefault="006A1EFD" w:rsidP="006A1EFD">
            <w:pPr>
              <w:spacing w:after="0" w:line="240" w:lineRule="auto"/>
              <w:jc w:val="center"/>
              <w:rPr>
                <w:rFonts w:ascii="Calibri" w:eastAsia="Times New Roman" w:hAnsi="Calibri" w:cs="Calibri"/>
                <w:sz w:val="20"/>
                <w:szCs w:val="20"/>
                <w:lang w:eastAsia="en-GB"/>
              </w:rPr>
            </w:pPr>
            <w:r w:rsidRPr="002A4ACA">
              <w:rPr>
                <w:rFonts w:ascii="Calibri" w:eastAsia="Times New Roman" w:hAnsi="Calibri" w:cs="Calibri"/>
                <w:sz w:val="20"/>
                <w:szCs w:val="20"/>
                <w:lang w:eastAsia="en-GB"/>
              </w:rPr>
              <w:t>20 03 01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5570E" w14:textId="165D0CCA"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739,551</w:t>
            </w:r>
          </w:p>
        </w:tc>
        <w:tc>
          <w:tcPr>
            <w:tcW w:w="1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99BF1" w14:textId="0AC07049"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0.24</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016BD" w14:textId="13A05E43"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177,492</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center"/>
          </w:tcPr>
          <w:p w14:paraId="11A50E41" w14:textId="0A4CFD98"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20"/>
                <w:lang w:eastAsia="en-GB"/>
              </w:rPr>
              <w:t>1,906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092EF" w14:textId="46A96E1C" w:rsidR="006A1EFD" w:rsidRPr="00C00CEA" w:rsidRDefault="006A1EFD" w:rsidP="006A1EFD">
            <w:pPr>
              <w:spacing w:after="0" w:line="240" w:lineRule="auto"/>
              <w:jc w:val="center"/>
              <w:rPr>
                <w:rFonts w:ascii="Calibri" w:eastAsia="Times New Roman" w:hAnsi="Calibri" w:cs="Calibri"/>
                <w:sz w:val="20"/>
                <w:szCs w:val="20"/>
                <w:lang w:eastAsia="en-GB"/>
              </w:rPr>
            </w:pPr>
            <w:r w:rsidRPr="00C00CEA">
              <w:rPr>
                <w:rFonts w:ascii="Calibri" w:eastAsia="Times New Roman" w:hAnsi="Calibri" w:cs="Calibri"/>
                <w:sz w:val="20"/>
                <w:szCs w:val="16"/>
                <w:lang w:eastAsia="en-GB"/>
              </w:rPr>
              <w:t>excluded</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70B17A97" w14:textId="6CF2035B" w:rsidR="006A1EFD" w:rsidRPr="00C00CEA" w:rsidRDefault="006A1EFD" w:rsidP="006A1EFD">
            <w:pPr>
              <w:spacing w:after="0" w:line="240" w:lineRule="auto"/>
              <w:jc w:val="center"/>
              <w:rPr>
                <w:rFonts w:ascii="Calibri" w:eastAsia="Times New Roman" w:hAnsi="Calibri" w:cs="Calibri"/>
                <w:sz w:val="20"/>
                <w:szCs w:val="20"/>
                <w:lang w:eastAsia="en-GB"/>
              </w:rPr>
            </w:pPr>
            <w:r>
              <w:rPr>
                <w:rFonts w:ascii="Calibri" w:eastAsia="Times New Roman" w:hAnsi="Calibri" w:cs="Calibri"/>
                <w:sz w:val="20"/>
                <w:szCs w:val="20"/>
                <w:lang w:eastAsia="en-GB"/>
              </w:rPr>
              <w:t>0</w:t>
            </w:r>
          </w:p>
        </w:tc>
      </w:tr>
      <w:tr w:rsidR="006A1EFD" w:rsidRPr="00C00CEA" w14:paraId="0A1D25EC" w14:textId="77777777" w:rsidTr="002E23CF">
        <w:trPr>
          <w:trHeight w:val="401"/>
        </w:trPr>
        <w:tc>
          <w:tcPr>
            <w:tcW w:w="4270" w:type="dxa"/>
            <w:tcBorders>
              <w:top w:val="single" w:sz="4" w:space="0" w:color="auto"/>
            </w:tcBorders>
            <w:shd w:val="clear" w:color="auto" w:fill="auto"/>
          </w:tcPr>
          <w:p w14:paraId="56B761FB" w14:textId="77777777" w:rsidR="006A1EFD" w:rsidRPr="00C00CEA" w:rsidRDefault="006A1EFD" w:rsidP="006A1EFD">
            <w:pPr>
              <w:spacing w:after="0" w:line="240" w:lineRule="auto"/>
              <w:jc w:val="left"/>
              <w:rPr>
                <w:rFonts w:ascii="Calibri" w:eastAsia="Times New Roman" w:hAnsi="Calibri" w:cs="Calibri"/>
                <w:sz w:val="16"/>
                <w:szCs w:val="16"/>
                <w:lang w:eastAsia="en-GB"/>
              </w:rPr>
            </w:pPr>
          </w:p>
        </w:tc>
        <w:tc>
          <w:tcPr>
            <w:tcW w:w="963" w:type="dxa"/>
            <w:tcBorders>
              <w:top w:val="single" w:sz="4" w:space="0" w:color="auto"/>
            </w:tcBorders>
          </w:tcPr>
          <w:p w14:paraId="361EE2E1" w14:textId="77777777" w:rsidR="006A1EFD" w:rsidRPr="00C00CEA" w:rsidRDefault="006A1EFD" w:rsidP="006A1EFD">
            <w:pPr>
              <w:spacing w:after="0" w:line="240" w:lineRule="auto"/>
              <w:jc w:val="center"/>
              <w:rPr>
                <w:rFonts w:eastAsia="Times New Roman" w:cstheme="minorHAnsi"/>
                <w:sz w:val="20"/>
                <w:szCs w:val="20"/>
                <w:lang w:eastAsia="en-GB"/>
              </w:rPr>
            </w:pPr>
          </w:p>
        </w:tc>
        <w:tc>
          <w:tcPr>
            <w:tcW w:w="992" w:type="dxa"/>
            <w:tcBorders>
              <w:top w:val="single" w:sz="4" w:space="0" w:color="auto"/>
              <w:left w:val="nil"/>
            </w:tcBorders>
            <w:shd w:val="clear" w:color="auto" w:fill="auto"/>
            <w:noWrap/>
            <w:vAlign w:val="bottom"/>
          </w:tcPr>
          <w:p w14:paraId="5436C7F4" w14:textId="7A374A00" w:rsidR="006A1EFD" w:rsidRPr="00C00CEA" w:rsidRDefault="006A1EFD" w:rsidP="006A1EFD">
            <w:pPr>
              <w:spacing w:after="0" w:line="240" w:lineRule="auto"/>
              <w:jc w:val="center"/>
              <w:rPr>
                <w:rFonts w:eastAsia="Times New Roman" w:cstheme="minorHAnsi"/>
                <w:sz w:val="20"/>
                <w:szCs w:val="20"/>
                <w:lang w:eastAsia="en-GB"/>
              </w:rPr>
            </w:pPr>
          </w:p>
        </w:tc>
        <w:tc>
          <w:tcPr>
            <w:tcW w:w="1147" w:type="dxa"/>
            <w:tcBorders>
              <w:top w:val="single" w:sz="4" w:space="0" w:color="auto"/>
              <w:right w:val="single" w:sz="4" w:space="0" w:color="auto"/>
            </w:tcBorders>
            <w:shd w:val="clear" w:color="auto" w:fill="auto"/>
            <w:noWrap/>
            <w:vAlign w:val="bottom"/>
          </w:tcPr>
          <w:p w14:paraId="54A1B973" w14:textId="77777777" w:rsidR="006A1EFD" w:rsidRPr="00C00CEA" w:rsidRDefault="006A1EFD" w:rsidP="006A1EFD">
            <w:pPr>
              <w:spacing w:after="0" w:line="240" w:lineRule="auto"/>
              <w:jc w:val="center"/>
              <w:rPr>
                <w:rFonts w:eastAsia="Times New Roman" w:cstheme="minorHAnsi"/>
                <w:sz w:val="20"/>
                <w:szCs w:val="20"/>
                <w:lang w:eastAsia="en-GB"/>
              </w:rPr>
            </w:pP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545A80" w14:textId="2CA427CD" w:rsidR="006A1EFD" w:rsidRPr="00513D4C" w:rsidRDefault="006A1EFD" w:rsidP="006A1EFD">
            <w:pPr>
              <w:spacing w:after="0" w:line="240" w:lineRule="auto"/>
              <w:jc w:val="center"/>
              <w:rPr>
                <w:rFonts w:eastAsia="Times New Roman" w:cstheme="minorHAnsi"/>
                <w:b/>
                <w:sz w:val="20"/>
                <w:szCs w:val="20"/>
                <w:lang w:eastAsia="en-GB"/>
              </w:rPr>
            </w:pPr>
            <w:r w:rsidRPr="00513D4C">
              <w:rPr>
                <w:rFonts w:eastAsia="Times New Roman" w:cstheme="minorHAnsi"/>
                <w:b/>
                <w:sz w:val="20"/>
                <w:szCs w:val="20"/>
                <w:lang w:eastAsia="en-GB"/>
              </w:rPr>
              <w:t>TOTAL (old)</w:t>
            </w:r>
          </w:p>
        </w:tc>
        <w:tc>
          <w:tcPr>
            <w:tcW w:w="1560" w:type="dxa"/>
            <w:tcBorders>
              <w:top w:val="single" w:sz="4" w:space="0" w:color="auto"/>
              <w:left w:val="single" w:sz="4" w:space="0" w:color="auto"/>
              <w:bottom w:val="single" w:sz="4" w:space="0" w:color="auto"/>
              <w:right w:val="single" w:sz="4" w:space="0" w:color="auto"/>
            </w:tcBorders>
            <w:shd w:val="clear" w:color="auto" w:fill="FFF2CC" w:themeFill="accent4" w:themeFillTint="33"/>
            <w:noWrap/>
            <w:vAlign w:val="bottom"/>
          </w:tcPr>
          <w:p w14:paraId="4E20C5A7" w14:textId="3E92B1BE" w:rsidR="006A1EFD" w:rsidRPr="00513D4C" w:rsidRDefault="006A1EFD" w:rsidP="006A1EFD">
            <w:pPr>
              <w:spacing w:after="0" w:line="240" w:lineRule="auto"/>
              <w:jc w:val="center"/>
              <w:rPr>
                <w:rFonts w:eastAsia="Times New Roman" w:cstheme="minorHAnsi"/>
                <w:b/>
                <w:sz w:val="20"/>
                <w:szCs w:val="20"/>
                <w:lang w:eastAsia="en-GB"/>
              </w:rPr>
            </w:pPr>
            <w:r w:rsidRPr="00513D4C">
              <w:rPr>
                <w:rFonts w:eastAsia="Times New Roman" w:cstheme="minorHAnsi"/>
                <w:b/>
                <w:sz w:val="20"/>
                <w:szCs w:val="20"/>
                <w:lang w:eastAsia="en-GB"/>
              </w:rPr>
              <w:t>506,806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4B79BF" w14:textId="486DF3C7" w:rsidR="006A1EFD" w:rsidRPr="00513D4C" w:rsidRDefault="006A1EFD" w:rsidP="006A1EFD">
            <w:pPr>
              <w:spacing w:after="0" w:line="240" w:lineRule="auto"/>
              <w:jc w:val="center"/>
              <w:rPr>
                <w:rFonts w:eastAsia="Times New Roman" w:cstheme="minorHAnsi"/>
                <w:b/>
                <w:sz w:val="20"/>
                <w:szCs w:val="20"/>
                <w:lang w:eastAsia="en-GB"/>
              </w:rPr>
            </w:pPr>
            <w:r w:rsidRPr="00513D4C">
              <w:rPr>
                <w:rFonts w:eastAsia="Times New Roman" w:cstheme="minorHAnsi"/>
                <w:b/>
                <w:sz w:val="20"/>
                <w:szCs w:val="20"/>
                <w:lang w:eastAsia="en-GB"/>
              </w:rPr>
              <w:t>TOTAL (revised)</w:t>
            </w:r>
          </w:p>
        </w:tc>
        <w:tc>
          <w:tcPr>
            <w:tcW w:w="2268" w:type="dxa"/>
            <w:tcBorders>
              <w:top w:val="single" w:sz="4" w:space="0" w:color="auto"/>
              <w:left w:val="nil"/>
              <w:bottom w:val="single" w:sz="4" w:space="0" w:color="auto"/>
              <w:right w:val="single" w:sz="4" w:space="0" w:color="auto"/>
            </w:tcBorders>
            <w:shd w:val="clear" w:color="auto" w:fill="E2EFD9" w:themeFill="accent6" w:themeFillTint="33"/>
            <w:noWrap/>
            <w:vAlign w:val="bottom"/>
          </w:tcPr>
          <w:p w14:paraId="1C8A8BAD" w14:textId="2B4E2C59" w:rsidR="006A1EFD" w:rsidRPr="00513D4C" w:rsidRDefault="003007E9" w:rsidP="006A1EFD">
            <w:pPr>
              <w:spacing w:after="0" w:line="240" w:lineRule="auto"/>
              <w:jc w:val="center"/>
              <w:rPr>
                <w:rFonts w:eastAsia="Times New Roman" w:cstheme="minorHAnsi"/>
                <w:b/>
                <w:sz w:val="20"/>
                <w:szCs w:val="20"/>
                <w:lang w:eastAsia="en-GB"/>
              </w:rPr>
            </w:pPr>
            <w:r>
              <w:rPr>
                <w:rFonts w:eastAsia="Times New Roman" w:cstheme="minorHAnsi"/>
                <w:b/>
                <w:sz w:val="20"/>
                <w:szCs w:val="20"/>
                <w:lang w:eastAsia="en-GB"/>
              </w:rPr>
              <w:t>248,230</w:t>
            </w:r>
          </w:p>
        </w:tc>
      </w:tr>
    </w:tbl>
    <w:p w14:paraId="3A2D8D89" w14:textId="77777777" w:rsidR="00AF0F44" w:rsidRPr="00AF0F44" w:rsidRDefault="00AF0F44" w:rsidP="00AF0F44"/>
    <w:sectPr w:rsidR="00AF0F44" w:rsidRPr="00AF0F44" w:rsidSect="002A4AC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42AAF" w14:textId="77777777" w:rsidR="00E96CFC" w:rsidRDefault="00E96CFC" w:rsidP="001B0247">
      <w:pPr>
        <w:spacing w:after="0" w:line="240" w:lineRule="auto"/>
      </w:pPr>
      <w:r>
        <w:separator/>
      </w:r>
    </w:p>
  </w:endnote>
  <w:endnote w:type="continuationSeparator" w:id="0">
    <w:p w14:paraId="20AC0B4C" w14:textId="77777777" w:rsidR="00E96CFC" w:rsidRDefault="00E96CFC" w:rsidP="001B0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00CD91" w14:textId="77777777" w:rsidR="00E96CFC" w:rsidRDefault="00E96CFC" w:rsidP="001B0247">
      <w:pPr>
        <w:spacing w:after="0" w:line="240" w:lineRule="auto"/>
      </w:pPr>
      <w:r>
        <w:separator/>
      </w:r>
    </w:p>
  </w:footnote>
  <w:footnote w:type="continuationSeparator" w:id="0">
    <w:p w14:paraId="76CFA283" w14:textId="77777777" w:rsidR="00E96CFC" w:rsidRDefault="00E96CFC" w:rsidP="001B02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D1D20"/>
    <w:multiLevelType w:val="hybridMultilevel"/>
    <w:tmpl w:val="A63CF8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CB7"/>
    <w:rsid w:val="00020FDB"/>
    <w:rsid w:val="00026142"/>
    <w:rsid w:val="000F7300"/>
    <w:rsid w:val="0010665D"/>
    <w:rsid w:val="00137934"/>
    <w:rsid w:val="00151041"/>
    <w:rsid w:val="001818D3"/>
    <w:rsid w:val="00184A16"/>
    <w:rsid w:val="001B0247"/>
    <w:rsid w:val="001B7712"/>
    <w:rsid w:val="001F5245"/>
    <w:rsid w:val="00221725"/>
    <w:rsid w:val="00236A07"/>
    <w:rsid w:val="00260209"/>
    <w:rsid w:val="0027423B"/>
    <w:rsid w:val="0029372A"/>
    <w:rsid w:val="002A4ACA"/>
    <w:rsid w:val="002B2305"/>
    <w:rsid w:val="002E0F0E"/>
    <w:rsid w:val="002E23CF"/>
    <w:rsid w:val="002F7CB7"/>
    <w:rsid w:val="003007E9"/>
    <w:rsid w:val="00332C44"/>
    <w:rsid w:val="003366B8"/>
    <w:rsid w:val="00381533"/>
    <w:rsid w:val="003921A0"/>
    <w:rsid w:val="003B0B4B"/>
    <w:rsid w:val="003C34B1"/>
    <w:rsid w:val="003D118D"/>
    <w:rsid w:val="00513D4C"/>
    <w:rsid w:val="00580B70"/>
    <w:rsid w:val="00584720"/>
    <w:rsid w:val="005B6F24"/>
    <w:rsid w:val="005D0D6B"/>
    <w:rsid w:val="006036FC"/>
    <w:rsid w:val="00645EF3"/>
    <w:rsid w:val="006A1EFD"/>
    <w:rsid w:val="006C02A7"/>
    <w:rsid w:val="00717270"/>
    <w:rsid w:val="00743DE6"/>
    <w:rsid w:val="00774AA0"/>
    <w:rsid w:val="00783C55"/>
    <w:rsid w:val="007D1F1B"/>
    <w:rsid w:val="007E2CA8"/>
    <w:rsid w:val="0087553A"/>
    <w:rsid w:val="00894615"/>
    <w:rsid w:val="008950F5"/>
    <w:rsid w:val="008B5E42"/>
    <w:rsid w:val="009001DB"/>
    <w:rsid w:val="00935BD8"/>
    <w:rsid w:val="00942882"/>
    <w:rsid w:val="0095721D"/>
    <w:rsid w:val="00985423"/>
    <w:rsid w:val="009D23D9"/>
    <w:rsid w:val="009F289A"/>
    <w:rsid w:val="00A02E89"/>
    <w:rsid w:val="00A1548E"/>
    <w:rsid w:val="00A35246"/>
    <w:rsid w:val="00A753B3"/>
    <w:rsid w:val="00A903C0"/>
    <w:rsid w:val="00A94020"/>
    <w:rsid w:val="00AB1100"/>
    <w:rsid w:val="00AB4063"/>
    <w:rsid w:val="00AF0F44"/>
    <w:rsid w:val="00B01CAA"/>
    <w:rsid w:val="00B32BE0"/>
    <w:rsid w:val="00B36991"/>
    <w:rsid w:val="00BA2FEC"/>
    <w:rsid w:val="00BD258B"/>
    <w:rsid w:val="00BD6A7A"/>
    <w:rsid w:val="00BF28EB"/>
    <w:rsid w:val="00C00CEA"/>
    <w:rsid w:val="00C40B52"/>
    <w:rsid w:val="00C530B5"/>
    <w:rsid w:val="00C90032"/>
    <w:rsid w:val="00C9061C"/>
    <w:rsid w:val="00CA1698"/>
    <w:rsid w:val="00CE62CA"/>
    <w:rsid w:val="00D3426B"/>
    <w:rsid w:val="00DB3D22"/>
    <w:rsid w:val="00DE33AA"/>
    <w:rsid w:val="00DE55D9"/>
    <w:rsid w:val="00E12FEB"/>
    <w:rsid w:val="00E2239A"/>
    <w:rsid w:val="00E2658F"/>
    <w:rsid w:val="00E3253F"/>
    <w:rsid w:val="00E9604A"/>
    <w:rsid w:val="00E96CFC"/>
    <w:rsid w:val="00EF7FDB"/>
    <w:rsid w:val="00F17D68"/>
    <w:rsid w:val="00F22BE9"/>
    <w:rsid w:val="00F435A9"/>
    <w:rsid w:val="00F57DE8"/>
    <w:rsid w:val="00FD2709"/>
    <w:rsid w:val="00FE3C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F1B3"/>
  <w15:chartTrackingRefBased/>
  <w15:docId w15:val="{301BCF5A-4A76-4A96-8BD1-11ACEA396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289A"/>
    <w:pPr>
      <w:jc w:val="both"/>
    </w:pPr>
  </w:style>
  <w:style w:type="paragraph" w:styleId="Heading1">
    <w:name w:val="heading 1"/>
    <w:basedOn w:val="Normal"/>
    <w:next w:val="Normal"/>
    <w:link w:val="Heading1Char"/>
    <w:uiPriority w:val="9"/>
    <w:qFormat/>
    <w:rsid w:val="00AB4063"/>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F7FDB"/>
    <w:pPr>
      <w:keepNext/>
      <w:keepLines/>
      <w:spacing w:before="160" w:after="120"/>
      <w:outlineLvl w:val="1"/>
    </w:pPr>
    <w:rPr>
      <w:rFonts w:eastAsiaTheme="majorEastAsia" w:cstheme="majorBidi"/>
      <w:b/>
      <w:color w:val="2F5496" w:themeColor="accent1" w:themeShade="BF"/>
      <w:sz w:val="24"/>
      <w:szCs w:val="26"/>
    </w:rPr>
  </w:style>
  <w:style w:type="paragraph" w:styleId="Heading3">
    <w:name w:val="heading 3"/>
    <w:basedOn w:val="Normal"/>
    <w:next w:val="Normal"/>
    <w:link w:val="Heading3Char"/>
    <w:uiPriority w:val="9"/>
    <w:unhideWhenUsed/>
    <w:qFormat/>
    <w:rsid w:val="00EF7FDB"/>
    <w:pPr>
      <w:keepNext/>
      <w:keepLines/>
      <w:spacing w:before="40" w:after="0"/>
      <w:outlineLvl w:val="2"/>
    </w:pPr>
    <w:rPr>
      <w:rFonts w:asciiTheme="majorHAnsi" w:eastAsiaTheme="majorEastAsia" w:hAnsiTheme="majorHAnsi"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B2305"/>
    <w:rPr>
      <w:sz w:val="16"/>
      <w:szCs w:val="16"/>
    </w:rPr>
  </w:style>
  <w:style w:type="paragraph" w:styleId="CommentText">
    <w:name w:val="annotation text"/>
    <w:basedOn w:val="Normal"/>
    <w:link w:val="CommentTextChar"/>
    <w:uiPriority w:val="99"/>
    <w:semiHidden/>
    <w:unhideWhenUsed/>
    <w:rsid w:val="002B2305"/>
    <w:pPr>
      <w:spacing w:line="240" w:lineRule="auto"/>
    </w:pPr>
    <w:rPr>
      <w:sz w:val="20"/>
      <w:szCs w:val="20"/>
    </w:rPr>
  </w:style>
  <w:style w:type="character" w:customStyle="1" w:styleId="CommentTextChar">
    <w:name w:val="Comment Text Char"/>
    <w:basedOn w:val="DefaultParagraphFont"/>
    <w:link w:val="CommentText"/>
    <w:uiPriority w:val="99"/>
    <w:semiHidden/>
    <w:rsid w:val="002B2305"/>
    <w:rPr>
      <w:sz w:val="20"/>
      <w:szCs w:val="20"/>
    </w:rPr>
  </w:style>
  <w:style w:type="paragraph" w:styleId="CommentSubject">
    <w:name w:val="annotation subject"/>
    <w:basedOn w:val="CommentText"/>
    <w:next w:val="CommentText"/>
    <w:link w:val="CommentSubjectChar"/>
    <w:uiPriority w:val="99"/>
    <w:semiHidden/>
    <w:unhideWhenUsed/>
    <w:rsid w:val="002B2305"/>
    <w:rPr>
      <w:b/>
      <w:bCs/>
    </w:rPr>
  </w:style>
  <w:style w:type="character" w:customStyle="1" w:styleId="CommentSubjectChar">
    <w:name w:val="Comment Subject Char"/>
    <w:basedOn w:val="CommentTextChar"/>
    <w:link w:val="CommentSubject"/>
    <w:uiPriority w:val="99"/>
    <w:semiHidden/>
    <w:rsid w:val="002B2305"/>
    <w:rPr>
      <w:b/>
      <w:bCs/>
      <w:sz w:val="20"/>
      <w:szCs w:val="20"/>
    </w:rPr>
  </w:style>
  <w:style w:type="paragraph" w:styleId="BalloonText">
    <w:name w:val="Balloon Text"/>
    <w:basedOn w:val="Normal"/>
    <w:link w:val="BalloonTextChar"/>
    <w:uiPriority w:val="99"/>
    <w:semiHidden/>
    <w:unhideWhenUsed/>
    <w:rsid w:val="002B23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2305"/>
    <w:rPr>
      <w:rFonts w:ascii="Segoe UI" w:hAnsi="Segoe UI" w:cs="Segoe UI"/>
      <w:sz w:val="18"/>
      <w:szCs w:val="18"/>
    </w:rPr>
  </w:style>
  <w:style w:type="character" w:customStyle="1" w:styleId="Heading2Char">
    <w:name w:val="Heading 2 Char"/>
    <w:basedOn w:val="DefaultParagraphFont"/>
    <w:link w:val="Heading2"/>
    <w:uiPriority w:val="9"/>
    <w:rsid w:val="00EF7FDB"/>
    <w:rPr>
      <w:rFonts w:eastAsiaTheme="majorEastAsia" w:cstheme="majorBidi"/>
      <w:b/>
      <w:color w:val="2F5496" w:themeColor="accent1" w:themeShade="BF"/>
      <w:sz w:val="24"/>
      <w:szCs w:val="26"/>
    </w:rPr>
  </w:style>
  <w:style w:type="character" w:customStyle="1" w:styleId="Heading1Char">
    <w:name w:val="Heading 1 Char"/>
    <w:basedOn w:val="DefaultParagraphFont"/>
    <w:link w:val="Heading1"/>
    <w:uiPriority w:val="9"/>
    <w:rsid w:val="00AB4063"/>
    <w:rPr>
      <w:rFonts w:eastAsiaTheme="majorEastAsia" w:cstheme="majorBidi"/>
      <w:b/>
      <w:sz w:val="28"/>
      <w:szCs w:val="32"/>
    </w:rPr>
  </w:style>
  <w:style w:type="character" w:customStyle="1" w:styleId="Heading3Char">
    <w:name w:val="Heading 3 Char"/>
    <w:basedOn w:val="DefaultParagraphFont"/>
    <w:link w:val="Heading3"/>
    <w:uiPriority w:val="9"/>
    <w:rsid w:val="00EF7FDB"/>
    <w:rPr>
      <w:rFonts w:asciiTheme="majorHAnsi" w:eastAsiaTheme="majorEastAsia" w:hAnsiTheme="majorHAnsi" w:cstheme="majorBidi"/>
      <w:b/>
      <w:i/>
      <w:szCs w:val="24"/>
    </w:rPr>
  </w:style>
  <w:style w:type="character" w:styleId="Hyperlink">
    <w:name w:val="Hyperlink"/>
    <w:basedOn w:val="DefaultParagraphFont"/>
    <w:uiPriority w:val="99"/>
    <w:unhideWhenUsed/>
    <w:rsid w:val="00B36991"/>
    <w:rPr>
      <w:color w:val="0563C1" w:themeColor="hyperlink"/>
      <w:u w:val="single"/>
    </w:rPr>
  </w:style>
  <w:style w:type="character" w:styleId="UnresolvedMention">
    <w:name w:val="Unresolved Mention"/>
    <w:basedOn w:val="DefaultParagraphFont"/>
    <w:uiPriority w:val="99"/>
    <w:semiHidden/>
    <w:unhideWhenUsed/>
    <w:rsid w:val="00B36991"/>
    <w:rPr>
      <w:color w:val="605E5C"/>
      <w:shd w:val="clear" w:color="auto" w:fill="E1DFDD"/>
    </w:rPr>
  </w:style>
  <w:style w:type="table" w:styleId="TableGrid">
    <w:name w:val="Table Grid"/>
    <w:basedOn w:val="TableNormal"/>
    <w:uiPriority w:val="39"/>
    <w:rsid w:val="0071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B024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0247"/>
    <w:rPr>
      <w:sz w:val="20"/>
      <w:szCs w:val="20"/>
    </w:rPr>
  </w:style>
  <w:style w:type="character" w:styleId="FootnoteReference">
    <w:name w:val="footnote reference"/>
    <w:basedOn w:val="DefaultParagraphFont"/>
    <w:uiPriority w:val="99"/>
    <w:semiHidden/>
    <w:unhideWhenUsed/>
    <w:rsid w:val="001B0247"/>
    <w:rPr>
      <w:vertAlign w:val="superscript"/>
    </w:rPr>
  </w:style>
  <w:style w:type="paragraph" w:customStyle="1" w:styleId="Default">
    <w:name w:val="Default"/>
    <w:rsid w:val="003366B8"/>
    <w:pPr>
      <w:autoSpaceDE w:val="0"/>
      <w:autoSpaceDN w:val="0"/>
      <w:adjustRightInd w:val="0"/>
      <w:spacing w:after="0" w:line="240" w:lineRule="auto"/>
    </w:pPr>
    <w:rPr>
      <w:rFonts w:ascii="Open Sans" w:hAnsi="Open Sans" w:cs="Open Sans"/>
      <w:color w:val="000000"/>
      <w:sz w:val="24"/>
      <w:szCs w:val="24"/>
    </w:rPr>
  </w:style>
  <w:style w:type="paragraph" w:styleId="ListParagraph">
    <w:name w:val="List Paragraph"/>
    <w:basedOn w:val="Normal"/>
    <w:uiPriority w:val="34"/>
    <w:qFormat/>
    <w:rsid w:val="003366B8"/>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86622">
      <w:bodyDiv w:val="1"/>
      <w:marLeft w:val="0"/>
      <w:marRight w:val="0"/>
      <w:marTop w:val="0"/>
      <w:marBottom w:val="0"/>
      <w:divBdr>
        <w:top w:val="none" w:sz="0" w:space="0" w:color="auto"/>
        <w:left w:val="none" w:sz="0" w:space="0" w:color="auto"/>
        <w:bottom w:val="none" w:sz="0" w:space="0" w:color="auto"/>
        <w:right w:val="none" w:sz="0" w:space="0" w:color="auto"/>
      </w:divBdr>
    </w:div>
    <w:div w:id="197016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wrap.org.uk/content/quantification-food-surplus-waste-and-related-materials-supply-chain-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rap.org.uk/sites/files/wrap/The_Composition_of_Waste_Disposed_of_by_the_UK_Hospitality_Industry_FINAL_JULY_2011_GP_EDIT.54efe0c9.11675.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ap.org.uk/sites/files/wrap/The%20compostion%20of%20waste%20from%20three%20sectors%20in%20Scotland.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rap.org.uk/content/quantification-food-surplus-waste-and-related-materials-supply-chain-report" TargetMode="External"/><Relationship Id="rId4" Type="http://schemas.openxmlformats.org/officeDocument/2006/relationships/settings" Target="settings.xml"/><Relationship Id="rId9" Type="http://schemas.openxmlformats.org/officeDocument/2006/relationships/hyperlink" Target="https://www.flwprotocol.org/flw-standard/" TargetMode="External"/><Relationship Id="rId14" Type="http://schemas.openxmlformats.org/officeDocument/2006/relationships/hyperlink" Target="http://www.wrap.org.uk/content/quantification-food-surplus-waste-and-related-materials-supply-chain-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98F86-2A6A-4FA2-BF4E-0EB2E798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Stunell</dc:creator>
  <cp:keywords/>
  <dc:description/>
  <cp:lastModifiedBy>Eleanor ORourke</cp:lastModifiedBy>
  <cp:revision>2</cp:revision>
  <dcterms:created xsi:type="dcterms:W3CDTF">2019-04-12T14:38:00Z</dcterms:created>
  <dcterms:modified xsi:type="dcterms:W3CDTF">2019-04-12T14:38:00Z</dcterms:modified>
</cp:coreProperties>
</file>