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93" w:rsidRPr="00990368" w:rsidRDefault="00A82893" w:rsidP="00A82893">
      <w:pPr>
        <w:pStyle w:val="Appendixtitle"/>
        <w:rPr>
          <w:rFonts w:cs="Open Sans"/>
        </w:rPr>
      </w:pPr>
      <w:r>
        <w:rPr>
          <w:rFonts w:cs="Open Sans"/>
        </w:rPr>
        <w:t>Readiness to Supply Declaration: For Food Surplus Providers</w:t>
      </w:r>
    </w:p>
    <w:tbl>
      <w:tblPr>
        <w:tblStyle w:val="TableGrid"/>
        <w:tblW w:w="14850" w:type="dxa"/>
        <w:tblInd w:w="-318" w:type="dxa"/>
        <w:tblLook w:val="04A0" w:firstRow="1" w:lastRow="0" w:firstColumn="1" w:lastColumn="0" w:noHBand="0" w:noVBand="1"/>
      </w:tblPr>
      <w:tblGrid>
        <w:gridCol w:w="2970"/>
        <w:gridCol w:w="3082"/>
        <w:gridCol w:w="2858"/>
        <w:gridCol w:w="2970"/>
        <w:gridCol w:w="2970"/>
      </w:tblGrid>
      <w:tr w:rsidR="00A82893" w:rsidRPr="00990368" w:rsidTr="00A82893">
        <w:trPr>
          <w:trHeight w:val="283"/>
        </w:trPr>
        <w:tc>
          <w:tcPr>
            <w:tcW w:w="14850" w:type="dxa"/>
            <w:gridSpan w:val="5"/>
            <w:shd w:val="clear" w:color="auto" w:fill="0F243E" w:themeFill="text2" w:themeFillShade="80"/>
          </w:tcPr>
          <w:p w:rsidR="00A82893" w:rsidRPr="00990368" w:rsidRDefault="00A82893" w:rsidP="00BF578A">
            <w:pPr>
              <w:rPr>
                <w:rFonts w:cs="Open Sans"/>
                <w:b/>
                <w:color w:val="0F2B5B"/>
                <w:szCs w:val="20"/>
              </w:rPr>
            </w:pPr>
            <w:r w:rsidRPr="00990368">
              <w:rPr>
                <w:rFonts w:cs="Open Sans"/>
                <w:b/>
                <w:color w:val="FFFFFF" w:themeColor="background1"/>
                <w:szCs w:val="20"/>
              </w:rPr>
              <w:t>Readiness to Supply Declaration</w:t>
            </w:r>
          </w:p>
        </w:tc>
      </w:tr>
      <w:tr w:rsidR="00A82893" w:rsidRPr="00990368" w:rsidTr="00A82893">
        <w:trPr>
          <w:trHeight w:val="269"/>
        </w:trPr>
        <w:tc>
          <w:tcPr>
            <w:tcW w:w="14850" w:type="dxa"/>
            <w:gridSpan w:val="5"/>
            <w:shd w:val="clear" w:color="auto" w:fill="D9D9D9" w:themeFill="background1" w:themeFillShade="D9"/>
          </w:tcPr>
          <w:p w:rsidR="00A82893" w:rsidRPr="00990368" w:rsidRDefault="00A82893" w:rsidP="00BF578A">
            <w:pPr>
              <w:rPr>
                <w:rFonts w:cs="Open Sans"/>
                <w:b/>
                <w:color w:val="0F2B5B"/>
                <w:szCs w:val="20"/>
              </w:rPr>
            </w:pPr>
            <w:r w:rsidRPr="00990368">
              <w:rPr>
                <w:rFonts w:cs="Open Sans"/>
                <w:b/>
                <w:szCs w:val="20"/>
              </w:rPr>
              <w:t>Part A: Contact details</w:t>
            </w:r>
          </w:p>
        </w:tc>
      </w:tr>
      <w:tr w:rsidR="00A82893" w:rsidRPr="00990368" w:rsidTr="00A82893">
        <w:trPr>
          <w:trHeight w:val="269"/>
        </w:trPr>
        <w:tc>
          <w:tcPr>
            <w:tcW w:w="6052" w:type="dxa"/>
            <w:gridSpan w:val="2"/>
          </w:tcPr>
          <w:p w:rsidR="00A82893" w:rsidRPr="00990368" w:rsidRDefault="00A82893" w:rsidP="00BF578A">
            <w:pPr>
              <w:rPr>
                <w:rFonts w:cs="Open Sans"/>
                <w:b/>
                <w:color w:val="0F2B5B"/>
                <w:szCs w:val="20"/>
              </w:rPr>
            </w:pPr>
            <w:r w:rsidRPr="00990368">
              <w:rPr>
                <w:rFonts w:cs="Open Sans"/>
                <w:szCs w:val="20"/>
              </w:rPr>
              <w:t xml:space="preserve">Name of organisation supplying surplus: </w:t>
            </w:r>
          </w:p>
        </w:tc>
        <w:tc>
          <w:tcPr>
            <w:tcW w:w="8798" w:type="dxa"/>
            <w:gridSpan w:val="3"/>
          </w:tcPr>
          <w:p w:rsidR="00A82893" w:rsidRPr="00990368" w:rsidRDefault="00A82893" w:rsidP="00BF578A">
            <w:pPr>
              <w:rPr>
                <w:rFonts w:cs="Open Sans"/>
                <w:b/>
                <w:color w:val="0F2B5B"/>
                <w:szCs w:val="20"/>
              </w:rPr>
            </w:pPr>
          </w:p>
        </w:tc>
      </w:tr>
      <w:tr w:rsidR="00A82893" w:rsidRPr="00990368" w:rsidTr="00A82893">
        <w:trPr>
          <w:trHeight w:val="269"/>
        </w:trPr>
        <w:tc>
          <w:tcPr>
            <w:tcW w:w="6052" w:type="dxa"/>
            <w:gridSpan w:val="2"/>
          </w:tcPr>
          <w:p w:rsidR="00A82893" w:rsidRPr="00990368" w:rsidRDefault="00A82893" w:rsidP="00BF578A">
            <w:pPr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Company Number / VAT Number</w:t>
            </w:r>
          </w:p>
        </w:tc>
        <w:tc>
          <w:tcPr>
            <w:tcW w:w="8798" w:type="dxa"/>
            <w:gridSpan w:val="3"/>
          </w:tcPr>
          <w:p w:rsidR="00A82893" w:rsidRPr="00990368" w:rsidRDefault="00A82893" w:rsidP="00BF578A">
            <w:pPr>
              <w:rPr>
                <w:rFonts w:cs="Open Sans"/>
                <w:b/>
                <w:color w:val="0F2B5B"/>
                <w:szCs w:val="20"/>
              </w:rPr>
            </w:pPr>
          </w:p>
        </w:tc>
      </w:tr>
      <w:tr w:rsidR="00A82893" w:rsidRPr="00990368" w:rsidTr="00A82893">
        <w:trPr>
          <w:trHeight w:val="269"/>
        </w:trPr>
        <w:tc>
          <w:tcPr>
            <w:tcW w:w="6052" w:type="dxa"/>
            <w:gridSpan w:val="2"/>
          </w:tcPr>
          <w:p w:rsidR="00A82893" w:rsidRPr="00990368" w:rsidRDefault="00A82893" w:rsidP="00BF578A">
            <w:pPr>
              <w:rPr>
                <w:rFonts w:cs="Open Sans"/>
                <w:b/>
                <w:color w:val="0F2B5B"/>
                <w:szCs w:val="20"/>
              </w:rPr>
            </w:pPr>
            <w:r w:rsidRPr="00990368">
              <w:rPr>
                <w:rFonts w:cs="Open Sans"/>
                <w:szCs w:val="20"/>
              </w:rPr>
              <w:t>Key contact name and contact details:</w:t>
            </w:r>
          </w:p>
        </w:tc>
        <w:tc>
          <w:tcPr>
            <w:tcW w:w="8798" w:type="dxa"/>
            <w:gridSpan w:val="3"/>
          </w:tcPr>
          <w:p w:rsidR="00A82893" w:rsidRPr="00990368" w:rsidRDefault="00A82893" w:rsidP="00BF578A">
            <w:pPr>
              <w:rPr>
                <w:rFonts w:cs="Open Sans"/>
                <w:b/>
                <w:color w:val="0F2B5B"/>
                <w:szCs w:val="20"/>
              </w:rPr>
            </w:pPr>
          </w:p>
        </w:tc>
      </w:tr>
      <w:tr w:rsidR="00A82893" w:rsidRPr="00990368" w:rsidTr="00A82893">
        <w:trPr>
          <w:trHeight w:val="283"/>
        </w:trPr>
        <w:tc>
          <w:tcPr>
            <w:tcW w:w="6052" w:type="dxa"/>
            <w:gridSpan w:val="2"/>
          </w:tcPr>
          <w:p w:rsidR="00A82893" w:rsidRPr="00990368" w:rsidRDefault="00A82893" w:rsidP="00BF578A">
            <w:pPr>
              <w:rPr>
                <w:rFonts w:cs="Open Sans"/>
                <w:b/>
                <w:color w:val="0F2B5B"/>
                <w:szCs w:val="20"/>
              </w:rPr>
            </w:pPr>
            <w:r w:rsidRPr="00990368">
              <w:rPr>
                <w:rFonts w:cs="Open Sans"/>
                <w:szCs w:val="20"/>
              </w:rPr>
              <w:t>Addresses of sites with surplus to supply:</w:t>
            </w:r>
          </w:p>
        </w:tc>
        <w:tc>
          <w:tcPr>
            <w:tcW w:w="8798" w:type="dxa"/>
            <w:gridSpan w:val="3"/>
          </w:tcPr>
          <w:p w:rsidR="00A82893" w:rsidRPr="00990368" w:rsidRDefault="00A82893" w:rsidP="00BF578A">
            <w:pPr>
              <w:rPr>
                <w:rFonts w:cs="Open Sans"/>
                <w:b/>
                <w:color w:val="0F2B5B"/>
                <w:szCs w:val="20"/>
              </w:rPr>
            </w:pPr>
          </w:p>
        </w:tc>
      </w:tr>
      <w:tr w:rsidR="00A82893" w:rsidRPr="00990368" w:rsidTr="00A82893">
        <w:trPr>
          <w:trHeight w:val="269"/>
        </w:trPr>
        <w:tc>
          <w:tcPr>
            <w:tcW w:w="14850" w:type="dxa"/>
            <w:gridSpan w:val="5"/>
            <w:shd w:val="clear" w:color="auto" w:fill="D9D9D9" w:themeFill="background1" w:themeFillShade="D9"/>
          </w:tcPr>
          <w:p w:rsidR="00A82893" w:rsidRPr="00990368" w:rsidRDefault="00A82893" w:rsidP="00BF578A">
            <w:pPr>
              <w:rPr>
                <w:rFonts w:cs="Open Sans"/>
                <w:b/>
                <w:color w:val="0F2B5B"/>
                <w:szCs w:val="20"/>
              </w:rPr>
            </w:pPr>
            <w:r w:rsidRPr="00990368">
              <w:rPr>
                <w:rFonts w:cs="Open Sans"/>
                <w:b/>
                <w:szCs w:val="20"/>
              </w:rPr>
              <w:t>Part B: Statement of redistribution policies and preferences</w:t>
            </w:r>
          </w:p>
        </w:tc>
      </w:tr>
      <w:tr w:rsidR="00A82893" w:rsidRPr="00990368" w:rsidTr="00A82893">
        <w:trPr>
          <w:trHeight w:val="269"/>
        </w:trPr>
        <w:tc>
          <w:tcPr>
            <w:tcW w:w="6052" w:type="dxa"/>
            <w:gridSpan w:val="2"/>
          </w:tcPr>
          <w:p w:rsidR="00A82893" w:rsidRPr="00990368" w:rsidRDefault="00A82893" w:rsidP="00BF578A">
            <w:pPr>
              <w:rPr>
                <w:rFonts w:cs="Open Sans"/>
                <w:b/>
                <w:color w:val="0F2B5B"/>
                <w:szCs w:val="20"/>
              </w:rPr>
            </w:pPr>
            <w:r w:rsidRPr="00990368">
              <w:rPr>
                <w:rFonts w:cs="Open Sans"/>
                <w:szCs w:val="20"/>
              </w:rPr>
              <w:t xml:space="preserve">Outline description of preferences for redistribution route </w:t>
            </w:r>
          </w:p>
        </w:tc>
        <w:tc>
          <w:tcPr>
            <w:tcW w:w="8798" w:type="dxa"/>
            <w:gridSpan w:val="3"/>
          </w:tcPr>
          <w:p w:rsidR="00A82893" w:rsidRPr="00990368" w:rsidRDefault="00A82893" w:rsidP="00BF578A">
            <w:pPr>
              <w:rPr>
                <w:rFonts w:cs="Open Sans"/>
                <w:b/>
                <w:color w:val="0F2B5B"/>
                <w:szCs w:val="20"/>
              </w:rPr>
            </w:pPr>
          </w:p>
        </w:tc>
      </w:tr>
      <w:tr w:rsidR="00A82893" w:rsidRPr="00990368" w:rsidTr="00A82893">
        <w:trPr>
          <w:trHeight w:val="283"/>
        </w:trPr>
        <w:tc>
          <w:tcPr>
            <w:tcW w:w="14850" w:type="dxa"/>
            <w:gridSpan w:val="5"/>
            <w:shd w:val="clear" w:color="auto" w:fill="D9D9D9" w:themeFill="background1" w:themeFillShade="D9"/>
          </w:tcPr>
          <w:p w:rsidR="00A82893" w:rsidRPr="00990368" w:rsidRDefault="00A82893" w:rsidP="00BF578A">
            <w:pPr>
              <w:rPr>
                <w:rFonts w:cs="Open Sans"/>
                <w:b/>
                <w:color w:val="0F2B5B"/>
                <w:szCs w:val="20"/>
              </w:rPr>
            </w:pPr>
            <w:r w:rsidRPr="00990368">
              <w:rPr>
                <w:rFonts w:cs="Open Sans"/>
                <w:b/>
                <w:szCs w:val="20"/>
              </w:rPr>
              <w:t>Part C: Nature of surplus</w:t>
            </w:r>
          </w:p>
        </w:tc>
      </w:tr>
      <w:tr w:rsidR="00A82893" w:rsidRPr="00990368" w:rsidTr="00A82893">
        <w:trPr>
          <w:trHeight w:val="269"/>
        </w:trPr>
        <w:tc>
          <w:tcPr>
            <w:tcW w:w="2970" w:type="dxa"/>
            <w:shd w:val="clear" w:color="auto" w:fill="C6D9F1" w:themeFill="text2" w:themeFillTint="33"/>
            <w:vAlign w:val="center"/>
          </w:tcPr>
          <w:p w:rsidR="00A82893" w:rsidRPr="00990368" w:rsidRDefault="00A82893" w:rsidP="00BF578A">
            <w:pPr>
              <w:jc w:val="center"/>
              <w:rPr>
                <w:rFonts w:cs="Open Sans"/>
                <w:color w:val="0F2B5B"/>
                <w:szCs w:val="20"/>
              </w:rPr>
            </w:pPr>
            <w:r w:rsidRPr="00990368">
              <w:rPr>
                <w:rFonts w:cs="Open Sans"/>
                <w:szCs w:val="20"/>
              </w:rPr>
              <w:t>Food types likely to occurs as surplus:</w:t>
            </w:r>
          </w:p>
        </w:tc>
        <w:tc>
          <w:tcPr>
            <w:tcW w:w="3082" w:type="dxa"/>
            <w:shd w:val="clear" w:color="auto" w:fill="C6D9F1" w:themeFill="text2" w:themeFillTint="33"/>
            <w:vAlign w:val="center"/>
          </w:tcPr>
          <w:p w:rsidR="00A82893" w:rsidRPr="00990368" w:rsidRDefault="00A82893" w:rsidP="00BF578A">
            <w:pPr>
              <w:jc w:val="center"/>
              <w:rPr>
                <w:rFonts w:cs="Open Sans"/>
                <w:color w:val="0F2B5B"/>
                <w:szCs w:val="20"/>
              </w:rPr>
            </w:pPr>
            <w:r w:rsidRPr="00990368">
              <w:rPr>
                <w:rFonts w:cs="Open Sans"/>
                <w:szCs w:val="20"/>
              </w:rPr>
              <w:t>Condition and shelf life; including nature of any damage</w:t>
            </w:r>
          </w:p>
        </w:tc>
        <w:tc>
          <w:tcPr>
            <w:tcW w:w="2858" w:type="dxa"/>
            <w:shd w:val="clear" w:color="auto" w:fill="C6D9F1" w:themeFill="text2" w:themeFillTint="33"/>
            <w:vAlign w:val="center"/>
          </w:tcPr>
          <w:p w:rsidR="00A82893" w:rsidRPr="00990368" w:rsidRDefault="00A82893" w:rsidP="00BF578A">
            <w:pPr>
              <w:jc w:val="center"/>
              <w:rPr>
                <w:rFonts w:cs="Open Sans"/>
                <w:color w:val="0F2B5B"/>
                <w:szCs w:val="20"/>
              </w:rPr>
            </w:pPr>
            <w:r w:rsidRPr="00990368">
              <w:rPr>
                <w:rFonts w:cs="Open Sans"/>
                <w:szCs w:val="20"/>
              </w:rPr>
              <w:t>Food temperature, handling and storage requirements:</w:t>
            </w: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:rsidR="00A82893" w:rsidRPr="00990368" w:rsidRDefault="00A82893" w:rsidP="00BF578A">
            <w:pPr>
              <w:jc w:val="center"/>
              <w:rPr>
                <w:rFonts w:cs="Open Sans"/>
                <w:color w:val="0F2B5B"/>
                <w:szCs w:val="20"/>
              </w:rPr>
            </w:pPr>
            <w:r w:rsidRPr="00990368">
              <w:rPr>
                <w:rFonts w:cs="Open Sans"/>
                <w:szCs w:val="20"/>
              </w:rPr>
              <w:t>Likely quantities and frequency (kg/boxes):</w:t>
            </w: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:rsidR="00A82893" w:rsidRPr="00990368" w:rsidRDefault="00A82893" w:rsidP="00BF578A">
            <w:pPr>
              <w:spacing w:before="60" w:after="60"/>
              <w:jc w:val="center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Other information including</w:t>
            </w:r>
          </w:p>
          <w:p w:rsidR="00A82893" w:rsidRPr="00990368" w:rsidRDefault="00A82893" w:rsidP="00BF578A">
            <w:pPr>
              <w:jc w:val="center"/>
              <w:rPr>
                <w:rFonts w:cs="Open Sans"/>
                <w:color w:val="0F2B5B"/>
                <w:szCs w:val="20"/>
              </w:rPr>
            </w:pPr>
            <w:r w:rsidRPr="00990368">
              <w:rPr>
                <w:rFonts w:cs="Open Sans"/>
                <w:szCs w:val="20"/>
              </w:rPr>
              <w:t xml:space="preserve">seasonal considerations and </w:t>
            </w:r>
            <w:proofErr w:type="spellStart"/>
            <w:r w:rsidRPr="00990368">
              <w:rPr>
                <w:rFonts w:cs="Open Sans"/>
                <w:szCs w:val="20"/>
              </w:rPr>
              <w:t>overlabelling</w:t>
            </w:r>
            <w:proofErr w:type="spellEnd"/>
            <w:r w:rsidRPr="00990368">
              <w:rPr>
                <w:rFonts w:cs="Open Sans"/>
                <w:szCs w:val="20"/>
              </w:rPr>
              <w:t xml:space="preserve"> requirements:</w:t>
            </w:r>
          </w:p>
        </w:tc>
      </w:tr>
      <w:tr w:rsidR="00A82893" w:rsidRPr="00990368" w:rsidTr="00A82893">
        <w:trPr>
          <w:trHeight w:val="269"/>
        </w:trPr>
        <w:tc>
          <w:tcPr>
            <w:tcW w:w="2970" w:type="dxa"/>
            <w:vAlign w:val="center"/>
          </w:tcPr>
          <w:p w:rsidR="00A82893" w:rsidRPr="00990368" w:rsidRDefault="00A82893" w:rsidP="00BF578A">
            <w:pPr>
              <w:rPr>
                <w:rFonts w:cs="Open Sans"/>
                <w:szCs w:val="20"/>
              </w:rPr>
            </w:pPr>
          </w:p>
        </w:tc>
        <w:tc>
          <w:tcPr>
            <w:tcW w:w="3082" w:type="dxa"/>
            <w:vAlign w:val="center"/>
          </w:tcPr>
          <w:p w:rsidR="00A82893" w:rsidRPr="00990368" w:rsidRDefault="00A82893" w:rsidP="00BF578A">
            <w:pPr>
              <w:rPr>
                <w:rFonts w:cs="Open Sans"/>
                <w:szCs w:val="20"/>
              </w:rPr>
            </w:pPr>
          </w:p>
        </w:tc>
        <w:tc>
          <w:tcPr>
            <w:tcW w:w="2858" w:type="dxa"/>
          </w:tcPr>
          <w:p w:rsidR="00A82893" w:rsidRPr="00990368" w:rsidRDefault="00A82893" w:rsidP="00BF578A">
            <w:pPr>
              <w:rPr>
                <w:rFonts w:cs="Open Sans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82893" w:rsidRPr="00990368" w:rsidRDefault="00A82893" w:rsidP="00BF578A">
            <w:pPr>
              <w:rPr>
                <w:rFonts w:cs="Open Sans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82893" w:rsidRPr="00990368" w:rsidRDefault="00A82893" w:rsidP="00BF578A">
            <w:pPr>
              <w:spacing w:before="60" w:after="60"/>
              <w:rPr>
                <w:rFonts w:cs="Open Sans"/>
                <w:szCs w:val="20"/>
              </w:rPr>
            </w:pPr>
          </w:p>
        </w:tc>
      </w:tr>
      <w:tr w:rsidR="00A82893" w:rsidRPr="00990368" w:rsidTr="00A82893">
        <w:trPr>
          <w:trHeight w:val="269"/>
        </w:trPr>
        <w:tc>
          <w:tcPr>
            <w:tcW w:w="2970" w:type="dxa"/>
            <w:vAlign w:val="center"/>
          </w:tcPr>
          <w:p w:rsidR="00A82893" w:rsidRPr="00990368" w:rsidRDefault="00A82893" w:rsidP="00BF578A">
            <w:pPr>
              <w:rPr>
                <w:rFonts w:cs="Open Sans"/>
                <w:szCs w:val="20"/>
              </w:rPr>
            </w:pPr>
          </w:p>
        </w:tc>
        <w:tc>
          <w:tcPr>
            <w:tcW w:w="3082" w:type="dxa"/>
            <w:vAlign w:val="center"/>
          </w:tcPr>
          <w:p w:rsidR="00A82893" w:rsidRPr="00990368" w:rsidRDefault="00A82893" w:rsidP="00BF578A">
            <w:pPr>
              <w:rPr>
                <w:rFonts w:cs="Open Sans"/>
                <w:szCs w:val="20"/>
              </w:rPr>
            </w:pPr>
          </w:p>
        </w:tc>
        <w:tc>
          <w:tcPr>
            <w:tcW w:w="2858" w:type="dxa"/>
          </w:tcPr>
          <w:p w:rsidR="00A82893" w:rsidRPr="00990368" w:rsidRDefault="00A82893" w:rsidP="00BF578A">
            <w:pPr>
              <w:rPr>
                <w:rFonts w:cs="Open Sans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82893" w:rsidRPr="00990368" w:rsidRDefault="00A82893" w:rsidP="00BF578A">
            <w:pPr>
              <w:rPr>
                <w:rFonts w:cs="Open Sans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82893" w:rsidRPr="00990368" w:rsidRDefault="00A82893" w:rsidP="00BF578A">
            <w:pPr>
              <w:spacing w:before="60" w:after="60"/>
              <w:rPr>
                <w:rFonts w:cs="Open Sans"/>
                <w:szCs w:val="20"/>
              </w:rPr>
            </w:pPr>
          </w:p>
        </w:tc>
      </w:tr>
      <w:tr w:rsidR="00A82893" w:rsidRPr="00990368" w:rsidTr="00A82893">
        <w:trPr>
          <w:trHeight w:val="269"/>
        </w:trPr>
        <w:tc>
          <w:tcPr>
            <w:tcW w:w="2970" w:type="dxa"/>
            <w:vAlign w:val="center"/>
          </w:tcPr>
          <w:p w:rsidR="00A82893" w:rsidRPr="00990368" w:rsidRDefault="00A82893" w:rsidP="00BF578A">
            <w:pPr>
              <w:rPr>
                <w:rFonts w:cs="Open Sans"/>
                <w:szCs w:val="20"/>
              </w:rPr>
            </w:pPr>
          </w:p>
        </w:tc>
        <w:tc>
          <w:tcPr>
            <w:tcW w:w="3082" w:type="dxa"/>
            <w:vAlign w:val="center"/>
          </w:tcPr>
          <w:p w:rsidR="00A82893" w:rsidRPr="00990368" w:rsidRDefault="00A82893" w:rsidP="00BF578A">
            <w:pPr>
              <w:rPr>
                <w:rFonts w:cs="Open Sans"/>
                <w:szCs w:val="20"/>
              </w:rPr>
            </w:pPr>
          </w:p>
        </w:tc>
        <w:tc>
          <w:tcPr>
            <w:tcW w:w="2858" w:type="dxa"/>
          </w:tcPr>
          <w:p w:rsidR="00A82893" w:rsidRPr="00990368" w:rsidRDefault="00A82893" w:rsidP="00BF578A">
            <w:pPr>
              <w:rPr>
                <w:rFonts w:cs="Open Sans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82893" w:rsidRPr="00990368" w:rsidRDefault="00A82893" w:rsidP="00BF578A">
            <w:pPr>
              <w:rPr>
                <w:rFonts w:cs="Open Sans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82893" w:rsidRPr="00990368" w:rsidRDefault="00A82893" w:rsidP="00BF578A">
            <w:pPr>
              <w:spacing w:before="60" w:after="60"/>
              <w:rPr>
                <w:rFonts w:cs="Open Sans"/>
                <w:szCs w:val="20"/>
              </w:rPr>
            </w:pPr>
          </w:p>
        </w:tc>
      </w:tr>
      <w:tr w:rsidR="00A82893" w:rsidRPr="00990368" w:rsidTr="00A82893">
        <w:trPr>
          <w:trHeight w:val="269"/>
        </w:trPr>
        <w:tc>
          <w:tcPr>
            <w:tcW w:w="2970" w:type="dxa"/>
            <w:vAlign w:val="center"/>
          </w:tcPr>
          <w:p w:rsidR="00A82893" w:rsidRPr="00990368" w:rsidRDefault="00A82893" w:rsidP="00BF578A">
            <w:pPr>
              <w:rPr>
                <w:rFonts w:cs="Open Sans"/>
                <w:szCs w:val="20"/>
              </w:rPr>
            </w:pPr>
          </w:p>
        </w:tc>
        <w:tc>
          <w:tcPr>
            <w:tcW w:w="3082" w:type="dxa"/>
            <w:vAlign w:val="center"/>
          </w:tcPr>
          <w:p w:rsidR="00A82893" w:rsidRPr="00990368" w:rsidRDefault="00A82893" w:rsidP="00BF578A">
            <w:pPr>
              <w:rPr>
                <w:rFonts w:cs="Open Sans"/>
                <w:szCs w:val="20"/>
              </w:rPr>
            </w:pPr>
          </w:p>
        </w:tc>
        <w:tc>
          <w:tcPr>
            <w:tcW w:w="2858" w:type="dxa"/>
          </w:tcPr>
          <w:p w:rsidR="00A82893" w:rsidRPr="00990368" w:rsidRDefault="00A82893" w:rsidP="00BF578A">
            <w:pPr>
              <w:rPr>
                <w:rFonts w:cs="Open Sans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82893" w:rsidRPr="00990368" w:rsidRDefault="00A82893" w:rsidP="00BF578A">
            <w:pPr>
              <w:rPr>
                <w:rFonts w:cs="Open Sans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82893" w:rsidRPr="00990368" w:rsidRDefault="00A82893" w:rsidP="00BF578A">
            <w:pPr>
              <w:spacing w:before="60" w:after="60"/>
              <w:rPr>
                <w:rFonts w:cs="Open Sans"/>
                <w:szCs w:val="20"/>
              </w:rPr>
            </w:pPr>
          </w:p>
        </w:tc>
      </w:tr>
      <w:tr w:rsidR="00A82893" w:rsidRPr="00990368" w:rsidTr="00A82893">
        <w:trPr>
          <w:trHeight w:val="269"/>
        </w:trPr>
        <w:tc>
          <w:tcPr>
            <w:tcW w:w="14850" w:type="dxa"/>
            <w:gridSpan w:val="5"/>
            <w:shd w:val="clear" w:color="auto" w:fill="D9D9D9" w:themeFill="background1" w:themeFillShade="D9"/>
          </w:tcPr>
          <w:p w:rsidR="00A82893" w:rsidRPr="00990368" w:rsidRDefault="00A82893" w:rsidP="00BF578A">
            <w:pPr>
              <w:rPr>
                <w:rFonts w:cs="Open Sans"/>
                <w:b/>
                <w:color w:val="0F2B5B"/>
                <w:szCs w:val="20"/>
              </w:rPr>
            </w:pPr>
            <w:r w:rsidRPr="00990368">
              <w:rPr>
                <w:rFonts w:cs="Open Sans"/>
                <w:b/>
                <w:szCs w:val="20"/>
              </w:rPr>
              <w:t>Part D: Logistics</w:t>
            </w:r>
          </w:p>
        </w:tc>
      </w:tr>
      <w:tr w:rsidR="00A82893" w:rsidRPr="00990368" w:rsidTr="00A82893">
        <w:trPr>
          <w:trHeight w:val="269"/>
        </w:trPr>
        <w:tc>
          <w:tcPr>
            <w:tcW w:w="6052" w:type="dxa"/>
            <w:gridSpan w:val="2"/>
          </w:tcPr>
          <w:p w:rsidR="00A82893" w:rsidRPr="00990368" w:rsidRDefault="00A82893" w:rsidP="00BF578A">
            <w:pPr>
              <w:rPr>
                <w:rFonts w:cs="Open Sans"/>
                <w:b/>
                <w:color w:val="0F2B5B"/>
                <w:szCs w:val="20"/>
              </w:rPr>
            </w:pPr>
            <w:r w:rsidRPr="00990368">
              <w:rPr>
                <w:rFonts w:cs="Open Sans"/>
                <w:szCs w:val="20"/>
              </w:rPr>
              <w:t>Ability to transport surplus and details of arrangement:</w:t>
            </w:r>
          </w:p>
        </w:tc>
        <w:tc>
          <w:tcPr>
            <w:tcW w:w="8798" w:type="dxa"/>
            <w:gridSpan w:val="3"/>
          </w:tcPr>
          <w:p w:rsidR="00A82893" w:rsidRPr="00990368" w:rsidRDefault="00A82893" w:rsidP="00BF578A">
            <w:pPr>
              <w:rPr>
                <w:rFonts w:cs="Open Sans"/>
                <w:b/>
                <w:color w:val="0F2B5B"/>
                <w:szCs w:val="20"/>
              </w:rPr>
            </w:pPr>
          </w:p>
        </w:tc>
      </w:tr>
      <w:tr w:rsidR="00A82893" w:rsidRPr="00990368" w:rsidTr="00A82893">
        <w:trPr>
          <w:trHeight w:val="283"/>
        </w:trPr>
        <w:tc>
          <w:tcPr>
            <w:tcW w:w="6052" w:type="dxa"/>
            <w:gridSpan w:val="2"/>
          </w:tcPr>
          <w:p w:rsidR="00A82893" w:rsidRPr="00990368" w:rsidRDefault="00A82893" w:rsidP="00BF578A">
            <w:pPr>
              <w:rPr>
                <w:rFonts w:cs="Open Sans"/>
                <w:b/>
                <w:color w:val="0F2B5B"/>
                <w:szCs w:val="20"/>
              </w:rPr>
            </w:pPr>
            <w:r w:rsidRPr="00990368">
              <w:rPr>
                <w:rFonts w:cs="Open Sans"/>
                <w:szCs w:val="20"/>
              </w:rPr>
              <w:t>Suitable collection/delivery day and time:</w:t>
            </w:r>
          </w:p>
        </w:tc>
        <w:tc>
          <w:tcPr>
            <w:tcW w:w="8798" w:type="dxa"/>
            <w:gridSpan w:val="3"/>
          </w:tcPr>
          <w:p w:rsidR="00A82893" w:rsidRPr="00990368" w:rsidRDefault="00A82893" w:rsidP="00BF578A">
            <w:pPr>
              <w:rPr>
                <w:rFonts w:cs="Open Sans"/>
                <w:b/>
                <w:color w:val="0F2B5B"/>
                <w:szCs w:val="20"/>
              </w:rPr>
            </w:pPr>
          </w:p>
        </w:tc>
      </w:tr>
      <w:tr w:rsidR="00A82893" w:rsidRPr="00990368" w:rsidTr="00A82893">
        <w:trPr>
          <w:trHeight w:val="269"/>
        </w:trPr>
        <w:tc>
          <w:tcPr>
            <w:tcW w:w="6052" w:type="dxa"/>
            <w:gridSpan w:val="2"/>
          </w:tcPr>
          <w:p w:rsidR="00A82893" w:rsidRPr="00990368" w:rsidRDefault="00A82893" w:rsidP="00BF578A">
            <w:pPr>
              <w:rPr>
                <w:rFonts w:cs="Open Sans"/>
                <w:b/>
                <w:color w:val="0F2B5B"/>
                <w:szCs w:val="20"/>
              </w:rPr>
            </w:pPr>
            <w:r w:rsidRPr="00990368">
              <w:rPr>
                <w:rFonts w:cs="Open Sans"/>
                <w:szCs w:val="20"/>
              </w:rPr>
              <w:t>Conditions/ special transportation requirements:</w:t>
            </w:r>
          </w:p>
        </w:tc>
        <w:tc>
          <w:tcPr>
            <w:tcW w:w="8798" w:type="dxa"/>
            <w:gridSpan w:val="3"/>
          </w:tcPr>
          <w:p w:rsidR="00A82893" w:rsidRPr="00990368" w:rsidRDefault="00A82893" w:rsidP="00BF578A">
            <w:pPr>
              <w:rPr>
                <w:rFonts w:cs="Open Sans"/>
                <w:b/>
                <w:color w:val="0F2B5B"/>
                <w:szCs w:val="20"/>
              </w:rPr>
            </w:pPr>
          </w:p>
        </w:tc>
      </w:tr>
      <w:tr w:rsidR="00A82893" w:rsidRPr="00990368" w:rsidTr="00A82893">
        <w:trPr>
          <w:trHeight w:val="269"/>
        </w:trPr>
        <w:tc>
          <w:tcPr>
            <w:tcW w:w="14850" w:type="dxa"/>
            <w:gridSpan w:val="5"/>
            <w:shd w:val="clear" w:color="auto" w:fill="D9D9D9" w:themeFill="background1" w:themeFillShade="D9"/>
          </w:tcPr>
          <w:p w:rsidR="00A82893" w:rsidRPr="00990368" w:rsidRDefault="00A82893" w:rsidP="00BF578A">
            <w:pPr>
              <w:rPr>
                <w:rFonts w:cs="Open Sans"/>
                <w:b/>
                <w:color w:val="0F2B5B"/>
                <w:szCs w:val="20"/>
              </w:rPr>
            </w:pPr>
            <w:r w:rsidRPr="00990368">
              <w:rPr>
                <w:rFonts w:cs="Open Sans"/>
                <w:b/>
                <w:szCs w:val="20"/>
              </w:rPr>
              <w:t>Part E: Review, monitor and measure</w:t>
            </w:r>
          </w:p>
        </w:tc>
      </w:tr>
      <w:tr w:rsidR="00A82893" w:rsidRPr="00990368" w:rsidTr="00A82893">
        <w:trPr>
          <w:trHeight w:val="333"/>
        </w:trPr>
        <w:tc>
          <w:tcPr>
            <w:tcW w:w="6052" w:type="dxa"/>
            <w:gridSpan w:val="2"/>
            <w:shd w:val="clear" w:color="auto" w:fill="auto"/>
          </w:tcPr>
          <w:p w:rsidR="00A82893" w:rsidRPr="00990368" w:rsidRDefault="00A82893" w:rsidP="00BF578A">
            <w:pPr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Communication plan:</w:t>
            </w:r>
          </w:p>
        </w:tc>
        <w:tc>
          <w:tcPr>
            <w:tcW w:w="8798" w:type="dxa"/>
            <w:gridSpan w:val="3"/>
            <w:shd w:val="clear" w:color="auto" w:fill="auto"/>
          </w:tcPr>
          <w:p w:rsidR="00A82893" w:rsidRDefault="00A82893" w:rsidP="00BF578A">
            <w:pPr>
              <w:pStyle w:val="ListParagraph"/>
              <w:spacing w:after="120" w:line="276" w:lineRule="auto"/>
              <w:ind w:left="360"/>
              <w:contextualSpacing w:val="0"/>
              <w:rPr>
                <w:rFonts w:ascii="Open Sans" w:hAnsi="Open Sans" w:cs="Open Sans"/>
                <w:i/>
                <w:color w:val="0F2B5B"/>
                <w:szCs w:val="20"/>
              </w:rPr>
            </w:pPr>
          </w:p>
          <w:p w:rsidR="00A82893" w:rsidRPr="00990368" w:rsidRDefault="00A82893" w:rsidP="00BF578A">
            <w:pPr>
              <w:spacing w:after="120" w:line="276" w:lineRule="auto"/>
              <w:rPr>
                <w:rFonts w:cs="Open Sans"/>
                <w:i/>
                <w:color w:val="0F2B5B"/>
                <w:szCs w:val="20"/>
              </w:rPr>
            </w:pPr>
          </w:p>
        </w:tc>
      </w:tr>
    </w:tbl>
    <w:p w:rsidR="00A82893" w:rsidRPr="00990368" w:rsidRDefault="00A82893" w:rsidP="00A82893">
      <w:pPr>
        <w:rPr>
          <w:rFonts w:cs="Open Sans"/>
        </w:rPr>
      </w:pPr>
    </w:p>
    <w:p w:rsidR="001D5F2A" w:rsidRDefault="001D5F2A"/>
    <w:sectPr w:rsidR="001D5F2A" w:rsidSect="00A828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BEB" w:rsidRDefault="00E17BEB" w:rsidP="00A82893">
      <w:pPr>
        <w:spacing w:line="240" w:lineRule="auto"/>
      </w:pPr>
      <w:r>
        <w:separator/>
      </w:r>
    </w:p>
  </w:endnote>
  <w:endnote w:type="continuationSeparator" w:id="0">
    <w:p w:rsidR="00E17BEB" w:rsidRDefault="00E17BEB" w:rsidP="00A82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53" w:rsidRDefault="00853D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93" w:rsidRDefault="00A82893" w:rsidP="00A82893">
    <w:pPr>
      <w:pStyle w:val="Footer"/>
      <w:jc w:val="right"/>
    </w:pPr>
    <w:bookmarkStart w:id="0" w:name="_GoBack"/>
    <w:bookmarkEnd w:id="0"/>
    <w:r>
      <w:t>Framework for Effective Redistribution Partnerships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53" w:rsidRDefault="00853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BEB" w:rsidRDefault="00E17BEB" w:rsidP="00A82893">
      <w:pPr>
        <w:spacing w:line="240" w:lineRule="auto"/>
      </w:pPr>
      <w:r>
        <w:separator/>
      </w:r>
    </w:p>
  </w:footnote>
  <w:footnote w:type="continuationSeparator" w:id="0">
    <w:p w:rsidR="00E17BEB" w:rsidRDefault="00E17BEB" w:rsidP="00A828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53" w:rsidRDefault="00853D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93" w:rsidRDefault="00853D53" w:rsidP="00A82893">
    <w:pPr>
      <w:pStyle w:val="Header"/>
      <w:jc w:val="right"/>
    </w:pPr>
    <w:r>
      <w:rPr>
        <w:noProof/>
        <w:lang w:eastAsia="en-GB"/>
      </w:rPr>
      <w:drawing>
        <wp:inline distT="0" distB="0" distL="0" distR="0" wp14:anchorId="2E29BA63" wp14:editId="1FC9C69F">
          <wp:extent cx="1571625" cy="523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53" w:rsidRDefault="00853D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93"/>
    <w:rsid w:val="001D5F2A"/>
    <w:rsid w:val="00361B8F"/>
    <w:rsid w:val="006E08AF"/>
    <w:rsid w:val="00853D53"/>
    <w:rsid w:val="00A82893"/>
    <w:rsid w:val="00E1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5039901-4F9D-473E-BB41-4E76AE86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893"/>
    <w:pPr>
      <w:spacing w:after="0" w:line="240" w:lineRule="atLeast"/>
    </w:pPr>
    <w:rPr>
      <w:rFonts w:ascii="Open Sans" w:eastAsia="Times New Roman" w:hAnsi="Open San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93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title">
    <w:name w:val="Appendix title"/>
    <w:basedOn w:val="Normal"/>
    <w:next w:val="Normal"/>
    <w:rsid w:val="00A82893"/>
    <w:pPr>
      <w:tabs>
        <w:tab w:val="left" w:pos="4820"/>
      </w:tabs>
      <w:spacing w:after="300" w:line="600" w:lineRule="atLeast"/>
    </w:pPr>
    <w:rPr>
      <w:color w:val="8795AD"/>
      <w:sz w:val="48"/>
    </w:rPr>
  </w:style>
  <w:style w:type="paragraph" w:customStyle="1" w:styleId="Picturecaption">
    <w:name w:val="Picture caption"/>
    <w:basedOn w:val="Normal"/>
    <w:qFormat/>
    <w:rsid w:val="00A82893"/>
    <w:pPr>
      <w:spacing w:line="180" w:lineRule="atLeast"/>
    </w:pPr>
    <w:rPr>
      <w:color w:val="0F2B5B"/>
      <w:sz w:val="14"/>
    </w:rPr>
  </w:style>
  <w:style w:type="paragraph" w:styleId="ListParagraph">
    <w:name w:val="List Paragraph"/>
    <w:basedOn w:val="Normal"/>
    <w:uiPriority w:val="34"/>
    <w:qFormat/>
    <w:rsid w:val="00A828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A8289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93"/>
    <w:rPr>
      <w:rFonts w:ascii="Open Sans" w:eastAsia="Times New Roman" w:hAnsi="Open San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89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93"/>
    <w:rPr>
      <w:rFonts w:ascii="Open Sans" w:eastAsia="Times New Roman" w:hAnsi="Open Sans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8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Hawley</dc:creator>
  <cp:lastModifiedBy>Louisa Coursey</cp:lastModifiedBy>
  <cp:revision>2</cp:revision>
  <dcterms:created xsi:type="dcterms:W3CDTF">2018-01-04T13:06:00Z</dcterms:created>
  <dcterms:modified xsi:type="dcterms:W3CDTF">2018-01-04T13:06:00Z</dcterms:modified>
</cp:coreProperties>
</file>